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2" w:rsidRPr="008A3364" w:rsidRDefault="007A2092" w:rsidP="007A209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</w:pPr>
      <w:r w:rsidRPr="008A336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Finanční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alokace</w:t>
      </w:r>
      <w:r w:rsidRPr="008A336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 operačních programů evropských fondů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 xml:space="preserve">v období </w:t>
      </w:r>
      <w:r w:rsidRPr="008A336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2021-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20</w:t>
      </w:r>
      <w:r w:rsidRPr="008A3364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27</w:t>
      </w:r>
    </w:p>
    <w:p w:rsidR="007A2092" w:rsidRPr="008A4F83" w:rsidRDefault="007A2092" w:rsidP="007A2092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lang w:eastAsia="cs-CZ"/>
        </w:rPr>
      </w:pPr>
      <w:r w:rsidRPr="008A3364">
        <w:rPr>
          <w:rFonts w:eastAsia="Times New Roman" w:cstheme="minorHAnsi"/>
          <w:bCs/>
          <w:color w:val="222222"/>
          <w:sz w:val="24"/>
          <w:szCs w:val="24"/>
          <w:lang w:eastAsia="cs-CZ"/>
        </w:rPr>
        <w:t>(</w:t>
      </w:r>
      <w:r w:rsidRPr="00A151BC">
        <w:rPr>
          <w:rFonts w:eastAsia="Times New Roman" w:cstheme="minorHAnsi"/>
          <w:bCs/>
          <w:sz w:val="24"/>
          <w:szCs w:val="24"/>
          <w:lang w:eastAsia="cs-CZ"/>
        </w:rPr>
        <w:t>stav k </w:t>
      </w:r>
      <w:r w:rsidR="0070783B">
        <w:rPr>
          <w:rFonts w:eastAsia="Times New Roman" w:cstheme="minorHAnsi"/>
          <w:bCs/>
          <w:sz w:val="24"/>
          <w:szCs w:val="24"/>
          <w:lang w:eastAsia="cs-CZ"/>
        </w:rPr>
        <w:t>5</w:t>
      </w:r>
      <w:r w:rsidRPr="00A151BC">
        <w:rPr>
          <w:rFonts w:eastAsia="Times New Roman" w:cstheme="minorHAnsi"/>
          <w:bCs/>
          <w:sz w:val="24"/>
          <w:szCs w:val="24"/>
          <w:lang w:eastAsia="cs-CZ"/>
        </w:rPr>
        <w:t xml:space="preserve">. </w:t>
      </w:r>
      <w:r w:rsidR="003C2AC6">
        <w:rPr>
          <w:rFonts w:eastAsia="Times New Roman" w:cstheme="minorHAnsi"/>
          <w:bCs/>
          <w:sz w:val="24"/>
          <w:szCs w:val="24"/>
          <w:lang w:eastAsia="cs-CZ"/>
        </w:rPr>
        <w:t>3</w:t>
      </w:r>
      <w:r w:rsidRPr="00A151BC">
        <w:rPr>
          <w:rFonts w:eastAsia="Times New Roman" w:cstheme="minorHAnsi"/>
          <w:bCs/>
          <w:sz w:val="24"/>
          <w:szCs w:val="24"/>
          <w:lang w:eastAsia="cs-CZ"/>
        </w:rPr>
        <w:t>. 2021</w:t>
      </w:r>
      <w:r w:rsidRPr="008A4F83">
        <w:rPr>
          <w:rFonts w:eastAsia="Times New Roman" w:cstheme="minorHAnsi"/>
          <w:bCs/>
          <w:sz w:val="24"/>
          <w:szCs w:val="24"/>
          <w:lang w:eastAsia="cs-CZ"/>
        </w:rPr>
        <w:t>)</w:t>
      </w:r>
      <w:r w:rsidRPr="008A4F83">
        <w:rPr>
          <w:rFonts w:eastAsia="Times New Roman" w:cstheme="minorHAnsi"/>
          <w:bCs/>
          <w:color w:val="222222"/>
          <w:lang w:eastAsia="cs-CZ"/>
        </w:rPr>
        <w:t xml:space="preserve">  </w:t>
      </w:r>
    </w:p>
    <w:p w:rsidR="007A2092" w:rsidRPr="008A4F83" w:rsidRDefault="007A2092" w:rsidP="007A209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  <w:lang w:eastAsia="cs-CZ"/>
        </w:rPr>
      </w:pPr>
    </w:p>
    <w:p w:rsidR="00954F62" w:rsidRPr="003458F3" w:rsidRDefault="007A2092" w:rsidP="00954F62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eastAsia="Times New Roman" w:cstheme="minorHAnsi"/>
          <w:bCs/>
          <w:color w:val="222222"/>
          <w:lang w:eastAsia="cs-CZ"/>
        </w:rPr>
      </w:pPr>
      <w:r w:rsidRPr="003458F3">
        <w:rPr>
          <w:rFonts w:eastAsia="Times New Roman" w:cstheme="minorHAnsi"/>
          <w:bCs/>
          <w:color w:val="222222"/>
          <w:lang w:eastAsia="cs-CZ"/>
        </w:rPr>
        <w:t xml:space="preserve">Podle </w:t>
      </w:r>
      <w:r w:rsidR="00BE62EA" w:rsidRPr="003458F3">
        <w:rPr>
          <w:rFonts w:eastAsia="Times New Roman" w:cstheme="minorHAnsi"/>
          <w:bCs/>
          <w:color w:val="222222"/>
          <w:lang w:eastAsia="cs-CZ"/>
        </w:rPr>
        <w:t>informace náměstkyně ministryně pro místní rozvoj Ing. Daniely Grabmüllerové na</w:t>
      </w:r>
      <w:r w:rsidR="0070711F" w:rsidRPr="003458F3">
        <w:rPr>
          <w:rFonts w:eastAsia="Times New Roman" w:cstheme="minorHAnsi"/>
          <w:bCs/>
          <w:color w:val="222222"/>
          <w:lang w:eastAsia="cs-CZ"/>
        </w:rPr>
        <w:t xml:space="preserve"> Rad</w:t>
      </w:r>
      <w:r w:rsidR="00BE62EA" w:rsidRPr="003458F3">
        <w:rPr>
          <w:rFonts w:eastAsia="Times New Roman" w:cstheme="minorHAnsi"/>
          <w:bCs/>
          <w:color w:val="222222"/>
          <w:lang w:eastAsia="cs-CZ"/>
        </w:rPr>
        <w:t>ě</w:t>
      </w:r>
      <w:r w:rsidR="0070711F" w:rsidRPr="003458F3">
        <w:rPr>
          <w:rFonts w:eastAsia="Times New Roman" w:cstheme="minorHAnsi"/>
          <w:bCs/>
          <w:color w:val="222222"/>
          <w:lang w:eastAsia="cs-CZ"/>
        </w:rPr>
        <w:t xml:space="preserve"> ESIF na pracovní úrovni </w:t>
      </w:r>
      <w:r w:rsidRPr="003458F3">
        <w:rPr>
          <w:rFonts w:eastAsia="Times New Roman" w:cstheme="minorHAnsi"/>
          <w:bCs/>
          <w:color w:val="222222"/>
          <w:lang w:eastAsia="cs-CZ"/>
        </w:rPr>
        <w:t xml:space="preserve">4. </w:t>
      </w:r>
      <w:r w:rsidR="003458F3" w:rsidRPr="003458F3">
        <w:rPr>
          <w:rFonts w:eastAsia="Times New Roman" w:cstheme="minorHAnsi"/>
          <w:bCs/>
          <w:color w:val="222222"/>
          <w:lang w:eastAsia="cs-CZ"/>
        </w:rPr>
        <w:t>2.</w:t>
      </w:r>
      <w:r w:rsidRPr="003458F3">
        <w:rPr>
          <w:rFonts w:eastAsia="Times New Roman" w:cstheme="minorHAnsi"/>
          <w:bCs/>
          <w:color w:val="222222"/>
          <w:lang w:eastAsia="cs-CZ"/>
        </w:rPr>
        <w:t xml:space="preserve"> 202</w:t>
      </w:r>
      <w:r w:rsidR="00166469" w:rsidRPr="003458F3">
        <w:rPr>
          <w:rFonts w:eastAsia="Times New Roman" w:cstheme="minorHAnsi"/>
          <w:bCs/>
          <w:color w:val="222222"/>
          <w:lang w:eastAsia="cs-CZ"/>
        </w:rPr>
        <w:t>1</w:t>
      </w:r>
      <w:r w:rsidR="00BE62EA" w:rsidRPr="003458F3">
        <w:rPr>
          <w:rFonts w:eastAsia="Times New Roman" w:cstheme="minorHAnsi"/>
          <w:bCs/>
          <w:color w:val="222222"/>
          <w:lang w:eastAsia="cs-CZ"/>
        </w:rPr>
        <w:t xml:space="preserve"> byl do e-</w:t>
      </w:r>
      <w:r w:rsidR="003516CF" w:rsidRPr="003458F3">
        <w:rPr>
          <w:rFonts w:eastAsia="Times New Roman" w:cstheme="minorHAnsi"/>
          <w:bCs/>
          <w:color w:val="222222"/>
          <w:lang w:eastAsia="cs-CZ"/>
        </w:rPr>
        <w:t>KLEP</w:t>
      </w:r>
      <w:r w:rsidR="00BE62EA" w:rsidRPr="003458F3">
        <w:rPr>
          <w:rFonts w:eastAsia="Times New Roman" w:cstheme="minorHAnsi"/>
          <w:bCs/>
          <w:color w:val="222222"/>
          <w:lang w:eastAsia="cs-CZ"/>
        </w:rPr>
        <w:t xml:space="preserve">u </w:t>
      </w:r>
      <w:r w:rsidR="00BE62EA" w:rsidRPr="003458F3">
        <w:t xml:space="preserve">vložen </w:t>
      </w:r>
      <w:r w:rsidR="00BE62EA" w:rsidRPr="003458F3">
        <w:rPr>
          <w:b/>
        </w:rPr>
        <w:t xml:space="preserve">„Návrh rozdělení alokace pro ČR </w:t>
      </w:r>
      <w:r w:rsidR="00881073">
        <w:rPr>
          <w:b/>
        </w:rPr>
        <w:t>3</w:t>
      </w:r>
      <w:r w:rsidR="00BE62EA" w:rsidRPr="003458F3">
        <w:rPr>
          <w:b/>
        </w:rPr>
        <w:t>v</w:t>
      </w:r>
      <w:r w:rsidR="003458F3" w:rsidRPr="003458F3">
        <w:rPr>
          <w:b/>
        </w:rPr>
        <w:t> </w:t>
      </w:r>
      <w:r w:rsidR="00BE62EA" w:rsidRPr="003458F3">
        <w:rPr>
          <w:b/>
        </w:rPr>
        <w:t>programovém období 202</w:t>
      </w:r>
      <w:r w:rsidR="009B3DD7" w:rsidRPr="003458F3">
        <w:rPr>
          <w:b/>
        </w:rPr>
        <w:t>1–2027 mezi operační programy“.</w:t>
      </w:r>
      <w:r w:rsidR="00BE62EA" w:rsidRPr="003458F3">
        <w:t xml:space="preserve"> </w:t>
      </w:r>
      <w:r w:rsidR="00881073">
        <w:t>V</w:t>
      </w:r>
      <w:r w:rsidR="00B262EC" w:rsidRPr="003458F3">
        <w:t>lád</w:t>
      </w:r>
      <w:r w:rsidR="00881073">
        <w:t>a návrh projednala</w:t>
      </w:r>
      <w:r w:rsidR="00B262EC" w:rsidRPr="003458F3">
        <w:t xml:space="preserve"> 22. </w:t>
      </w:r>
      <w:r w:rsidR="003458F3" w:rsidRPr="003458F3">
        <w:t>2.</w:t>
      </w:r>
      <w:r w:rsidR="00B262EC" w:rsidRPr="003458F3">
        <w:t xml:space="preserve"> </w:t>
      </w:r>
      <w:r w:rsidR="00881073">
        <w:t>a </w:t>
      </w:r>
      <w:r w:rsidR="00331FF3">
        <w:t xml:space="preserve">1. </w:t>
      </w:r>
      <w:r w:rsidR="00881073">
        <w:t>3. 2021</w:t>
      </w:r>
      <w:r w:rsidR="00331FF3">
        <w:t xml:space="preserve">, kdy </w:t>
      </w:r>
      <w:r w:rsidR="00881073">
        <w:t xml:space="preserve">k němu </w:t>
      </w:r>
      <w:r w:rsidR="00331FF3">
        <w:t>přijala usnesení č. 233, kterým schválila rozdělení alokací mezi operační programy</w:t>
      </w:r>
      <w:r w:rsidR="00233B17">
        <w:t>.</w:t>
      </w:r>
      <w:r w:rsidR="00331FF3">
        <w:t xml:space="preserve"> </w:t>
      </w:r>
    </w:p>
    <w:p w:rsidR="00954F62" w:rsidRDefault="00954F62" w:rsidP="00954F62">
      <w:pPr>
        <w:pStyle w:val="Odstavecseseznamem"/>
        <w:shd w:val="clear" w:color="auto" w:fill="FFFFFF"/>
        <w:spacing w:after="0" w:line="240" w:lineRule="auto"/>
        <w:ind w:left="340"/>
        <w:contextualSpacing w:val="0"/>
        <w:jc w:val="both"/>
      </w:pPr>
    </w:p>
    <w:p w:rsidR="00954F62" w:rsidRPr="009117E7" w:rsidRDefault="00233B17" w:rsidP="00954F62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ind w:left="0" w:firstLine="340"/>
        <w:jc w:val="both"/>
      </w:pPr>
      <w:r w:rsidRPr="00233B17">
        <w:rPr>
          <w:rFonts w:eastAsia="Times New Roman" w:cstheme="minorHAnsi"/>
          <w:bCs/>
          <w:color w:val="222222"/>
          <w:lang w:eastAsia="cs-CZ"/>
        </w:rPr>
        <w:t>U</w:t>
      </w:r>
      <w:r w:rsidR="00954F62" w:rsidRPr="00233B17">
        <w:rPr>
          <w:rFonts w:eastAsia="Times New Roman" w:cstheme="minorHAnsi"/>
          <w:bCs/>
          <w:color w:val="222222"/>
          <w:lang w:eastAsia="cs-CZ"/>
        </w:rPr>
        <w:t>snesení vlády</w:t>
      </w:r>
      <w:r w:rsidR="00954F62" w:rsidRPr="00233B17">
        <w:t xml:space="preserve"> </w:t>
      </w:r>
      <w:r w:rsidRPr="00233B17">
        <w:t xml:space="preserve">dále </w:t>
      </w:r>
      <w:r w:rsidR="00954F62" w:rsidRPr="00233B17">
        <w:t>stanov</w:t>
      </w:r>
      <w:r w:rsidRPr="00233B17">
        <w:t>il</w:t>
      </w:r>
      <w:r>
        <w:t>o</w:t>
      </w:r>
      <w:r w:rsidR="00954F62">
        <w:t xml:space="preserve"> termíny dopracování a předložení klíčových dokumentů pro období 2021-2027</w:t>
      </w:r>
      <w:r>
        <w:t xml:space="preserve">. Mimo jiné vláda uložila ministryni pro místní rozvoj ve spolupráci s řídicími orgány operačních programů a s místopředsedkyní vlády a ministryní financí dopracovat a </w:t>
      </w:r>
      <w:r w:rsidRPr="00331FF3">
        <w:rPr>
          <w:b/>
        </w:rPr>
        <w:t>předložit vládě návrh Dohody o partnerství pro období 2021–2027 do 31. srpna 2021</w:t>
      </w:r>
      <w:r>
        <w:t>.</w:t>
      </w:r>
      <w:r w:rsidRPr="003458F3">
        <w:t xml:space="preserve">                                                                                                              </w:t>
      </w:r>
      <w:r w:rsidR="003458F3">
        <w:rPr>
          <w:b/>
        </w:rPr>
        <w:t xml:space="preserve"> </w:t>
      </w:r>
    </w:p>
    <w:p w:rsidR="00044E1A" w:rsidRPr="00954F62" w:rsidRDefault="00044E1A" w:rsidP="00954F6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</w:p>
    <w:p w:rsidR="00044E1A" w:rsidRPr="00376511" w:rsidRDefault="00140936" w:rsidP="009F4EF1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ind w:left="0" w:firstLine="340"/>
        <w:jc w:val="both"/>
      </w:pPr>
      <w:r w:rsidRPr="00376511">
        <w:rPr>
          <w:rFonts w:eastAsia="Times New Roman" w:cstheme="minorHAnsi"/>
          <w:bCs/>
          <w:color w:val="222222"/>
          <w:lang w:eastAsia="cs-CZ"/>
        </w:rPr>
        <w:t xml:space="preserve"> </w:t>
      </w:r>
      <w:r w:rsidR="009117E7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>S</w:t>
      </w:r>
      <w:r w:rsidR="00376511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 xml:space="preserve">oučástí </w:t>
      </w:r>
      <w:r w:rsidR="003458F3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>D</w:t>
      </w:r>
      <w:r w:rsidR="00044E1A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>ohody</w:t>
      </w:r>
      <w:r w:rsidR="003C2AC6" w:rsidRPr="00376511">
        <w:rPr>
          <w:rFonts w:eastAsia="Times New Roman" w:cstheme="minorHAnsi"/>
          <w:bCs/>
          <w:color w:val="222222"/>
          <w:spacing w:val="-4"/>
          <w:lang w:eastAsia="cs-CZ"/>
        </w:rPr>
        <w:t>,</w:t>
      </w:r>
      <w:r w:rsidR="0069512D">
        <w:rPr>
          <w:rFonts w:eastAsia="Times New Roman" w:cstheme="minorHAnsi"/>
          <w:b/>
          <w:bCs/>
          <w:color w:val="222222"/>
          <w:spacing w:val="-4"/>
          <w:lang w:eastAsia="cs-CZ"/>
        </w:rPr>
        <w:t xml:space="preserve"> kterou </w:t>
      </w:r>
      <w:bookmarkStart w:id="0" w:name="_GoBack"/>
      <w:bookmarkEnd w:id="0"/>
      <w:r w:rsidR="00233B17">
        <w:rPr>
          <w:rFonts w:eastAsia="Times New Roman" w:cstheme="minorHAnsi"/>
          <w:b/>
          <w:bCs/>
          <w:color w:val="222222"/>
          <w:spacing w:val="-4"/>
          <w:lang w:eastAsia="cs-CZ"/>
        </w:rPr>
        <w:t>začne</w:t>
      </w:r>
      <w:r w:rsidR="003C2AC6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 xml:space="preserve"> </w:t>
      </w:r>
      <w:r w:rsidR="00F83F7D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 xml:space="preserve">Ministerstvo pro místní rozvoj ČR </w:t>
      </w:r>
      <w:r w:rsidR="00F83F7D" w:rsidRPr="00376511">
        <w:rPr>
          <w:rFonts w:eastAsia="Times New Roman" w:cstheme="minorHAnsi"/>
          <w:bCs/>
          <w:color w:val="222222"/>
          <w:spacing w:val="-4"/>
          <w:lang w:eastAsia="cs-CZ"/>
        </w:rPr>
        <w:t>(</w:t>
      </w:r>
      <w:r w:rsidR="003C2AC6" w:rsidRPr="00376511">
        <w:rPr>
          <w:rFonts w:eastAsia="Times New Roman" w:cstheme="minorHAnsi"/>
          <w:bCs/>
          <w:color w:val="222222"/>
          <w:spacing w:val="-4"/>
          <w:lang w:eastAsia="cs-CZ"/>
        </w:rPr>
        <w:t>MMR</w:t>
      </w:r>
      <w:r w:rsidR="00F83F7D" w:rsidRPr="00376511">
        <w:rPr>
          <w:rFonts w:eastAsia="Times New Roman" w:cstheme="minorHAnsi"/>
          <w:bCs/>
          <w:color w:val="222222"/>
          <w:spacing w:val="-4"/>
          <w:lang w:eastAsia="cs-CZ"/>
        </w:rPr>
        <w:t>)</w:t>
      </w:r>
      <w:r w:rsidR="003C2AC6" w:rsidRPr="00376511">
        <w:rPr>
          <w:rFonts w:eastAsia="Times New Roman" w:cstheme="minorHAnsi"/>
          <w:b/>
          <w:bCs/>
          <w:color w:val="222222"/>
          <w:spacing w:val="-4"/>
          <w:lang w:eastAsia="cs-CZ"/>
        </w:rPr>
        <w:t xml:space="preserve"> finalizovat v dubnu</w:t>
      </w:r>
      <w:r w:rsidR="003C2AC6" w:rsidRPr="00376511">
        <w:rPr>
          <w:rFonts w:eastAsia="Times New Roman" w:cstheme="minorHAnsi"/>
          <w:b/>
          <w:bCs/>
          <w:color w:val="222222"/>
          <w:lang w:eastAsia="cs-CZ"/>
        </w:rPr>
        <w:t xml:space="preserve"> 2021,</w:t>
      </w:r>
      <w:r w:rsidR="00044E1A" w:rsidRPr="00376511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9F4EF1" w:rsidRPr="00376511">
        <w:rPr>
          <w:rFonts w:eastAsia="Times New Roman" w:cstheme="minorHAnsi"/>
          <w:b/>
          <w:bCs/>
          <w:color w:val="222222"/>
          <w:lang w:eastAsia="cs-CZ"/>
        </w:rPr>
        <w:t>bude</w:t>
      </w:r>
      <w:r w:rsidR="00044E1A" w:rsidRPr="00376511">
        <w:rPr>
          <w:rFonts w:eastAsia="Times New Roman" w:cstheme="minorHAnsi"/>
          <w:b/>
          <w:bCs/>
          <w:color w:val="222222"/>
          <w:lang w:eastAsia="cs-CZ"/>
        </w:rPr>
        <w:t xml:space="preserve"> výše alokací </w:t>
      </w:r>
      <w:r w:rsidR="00044E1A" w:rsidRPr="00376511">
        <w:rPr>
          <w:b/>
        </w:rPr>
        <w:t>pro integrované nástroje</w:t>
      </w:r>
      <w:r w:rsidR="00044E1A" w:rsidRPr="00376511">
        <w:t xml:space="preserve">, tj. pro </w:t>
      </w:r>
      <w:r w:rsidR="009F4EF1" w:rsidRPr="00376511">
        <w:t>k</w:t>
      </w:r>
      <w:r w:rsidR="00044E1A" w:rsidRPr="00376511">
        <w:t>omunitně vedený místní rozvoj</w:t>
      </w:r>
      <w:r w:rsidR="008A4F83" w:rsidRPr="00376511">
        <w:t xml:space="preserve"> (CLLD</w:t>
      </w:r>
      <w:r w:rsidR="00044E1A" w:rsidRPr="00376511">
        <w:t>)</w:t>
      </w:r>
      <w:r w:rsidR="00EE666A" w:rsidRPr="00376511">
        <w:t xml:space="preserve">, realizovaný prostřednictvím </w:t>
      </w:r>
      <w:r w:rsidR="00F83F7D" w:rsidRPr="00376511">
        <w:t>místních akčních skupin (</w:t>
      </w:r>
      <w:r w:rsidR="00EE666A" w:rsidRPr="00376511">
        <w:t>MAS</w:t>
      </w:r>
      <w:r w:rsidR="00F83F7D" w:rsidRPr="00376511">
        <w:t>)</w:t>
      </w:r>
      <w:r w:rsidR="00EE666A" w:rsidRPr="00376511">
        <w:t>,</w:t>
      </w:r>
      <w:r w:rsidR="00044E1A" w:rsidRPr="00376511">
        <w:t xml:space="preserve"> a</w:t>
      </w:r>
      <w:r w:rsidR="00881073">
        <w:t xml:space="preserve"> pro</w:t>
      </w:r>
      <w:r w:rsidR="00044E1A" w:rsidRPr="00376511">
        <w:t xml:space="preserve"> integrované územní investice</w:t>
      </w:r>
      <w:r w:rsidR="008A4F83" w:rsidRPr="00376511">
        <w:t xml:space="preserve"> (ITI</w:t>
      </w:r>
      <w:r w:rsidR="00044E1A" w:rsidRPr="00376511">
        <w:t>).</w:t>
      </w:r>
    </w:p>
    <w:p w:rsidR="009117E7" w:rsidRPr="00140936" w:rsidRDefault="009117E7" w:rsidP="009117E7">
      <w:pPr>
        <w:pStyle w:val="Odstavecseseznamem"/>
        <w:shd w:val="clear" w:color="auto" w:fill="FFFFFF"/>
        <w:spacing w:after="0" w:line="240" w:lineRule="auto"/>
        <w:ind w:left="502"/>
        <w:jc w:val="both"/>
      </w:pPr>
    </w:p>
    <w:p w:rsidR="009117E7" w:rsidRPr="006368AD" w:rsidRDefault="006368AD" w:rsidP="00954F6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contextualSpacing w:val="0"/>
        <w:jc w:val="both"/>
        <w:rPr>
          <w:rFonts w:eastAsia="Times New Roman" w:cstheme="minorHAnsi"/>
          <w:bCs/>
          <w:color w:val="222222"/>
          <w:lang w:eastAsia="cs-CZ"/>
        </w:rPr>
      </w:pPr>
      <w:r w:rsidRPr="006368AD">
        <w:rPr>
          <w:rFonts w:eastAsia="Times New Roman" w:cstheme="minorHAnsi"/>
          <w:bCs/>
          <w:color w:val="222222"/>
          <w:lang w:eastAsia="cs-CZ"/>
        </w:rPr>
        <w:t xml:space="preserve">Dosud 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>nejkonkrétněji jsou navrženy priority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>,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>c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 xml:space="preserve">íle 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 xml:space="preserve">a rozdělení jejich podpory v 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>Integrovan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>ém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 xml:space="preserve"> regionální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>m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 xml:space="preserve"> operační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>m</w:t>
      </w:r>
      <w:r w:rsidRPr="00617AD3">
        <w:rPr>
          <w:rFonts w:eastAsia="Times New Roman" w:cstheme="minorHAnsi"/>
          <w:b/>
          <w:bCs/>
          <w:color w:val="222222"/>
          <w:lang w:eastAsia="cs-CZ"/>
        </w:rPr>
        <w:t xml:space="preserve"> program</w:t>
      </w:r>
      <w:r w:rsidR="00617AD3" w:rsidRPr="00617AD3">
        <w:rPr>
          <w:rFonts w:eastAsia="Times New Roman" w:cstheme="minorHAnsi"/>
          <w:b/>
          <w:bCs/>
          <w:color w:val="222222"/>
          <w:lang w:eastAsia="cs-CZ"/>
        </w:rPr>
        <w:t>u</w:t>
      </w:r>
      <w:r>
        <w:rPr>
          <w:rFonts w:eastAsia="Times New Roman" w:cstheme="minorHAnsi"/>
          <w:bCs/>
          <w:color w:val="222222"/>
          <w:lang w:eastAsia="cs-CZ"/>
        </w:rPr>
        <w:t xml:space="preserve"> (</w:t>
      </w:r>
      <w:r w:rsidRPr="006368AD">
        <w:rPr>
          <w:rFonts w:eastAsia="Times New Roman" w:cstheme="minorHAnsi"/>
          <w:bCs/>
          <w:color w:val="222222"/>
          <w:lang w:eastAsia="cs-CZ"/>
        </w:rPr>
        <w:t>IROP</w:t>
      </w:r>
      <w:r>
        <w:rPr>
          <w:rFonts w:eastAsia="Times New Roman" w:cstheme="minorHAnsi"/>
          <w:bCs/>
          <w:color w:val="222222"/>
          <w:lang w:eastAsia="cs-CZ"/>
        </w:rPr>
        <w:t>) v gesci MMR</w:t>
      </w:r>
      <w:r w:rsidR="00617AD3" w:rsidRPr="00617AD3">
        <w:rPr>
          <w:rFonts w:eastAsia="Times New Roman" w:cstheme="minorHAnsi"/>
          <w:bCs/>
          <w:color w:val="222222"/>
          <w:lang w:eastAsia="cs-CZ"/>
        </w:rPr>
        <w:t>. IROP má také</w:t>
      </w:r>
      <w:r w:rsidR="00BC71E9">
        <w:rPr>
          <w:rFonts w:eastAsia="Times New Roman" w:cstheme="minorHAnsi"/>
          <w:bCs/>
          <w:color w:val="222222"/>
          <w:lang w:eastAsia="cs-CZ"/>
        </w:rPr>
        <w:t>,</w:t>
      </w:r>
      <w:r w:rsidR="00617AD3" w:rsidRPr="00617AD3">
        <w:rPr>
          <w:rFonts w:eastAsia="Times New Roman" w:cstheme="minorHAnsi"/>
          <w:bCs/>
          <w:color w:val="222222"/>
          <w:lang w:eastAsia="cs-CZ"/>
        </w:rPr>
        <w:t xml:space="preserve"> </w:t>
      </w:r>
      <w:r w:rsidRPr="00617AD3">
        <w:rPr>
          <w:rFonts w:eastAsia="Times New Roman" w:cstheme="minorHAnsi"/>
          <w:bCs/>
          <w:color w:val="222222"/>
          <w:lang w:eastAsia="cs-CZ"/>
        </w:rPr>
        <w:t xml:space="preserve">vedle Programu rozvoje venkova (PRV) v gesci </w:t>
      </w:r>
      <w:r w:rsidR="00F83F7D">
        <w:rPr>
          <w:rFonts w:eastAsia="Times New Roman" w:cstheme="minorHAnsi"/>
          <w:bCs/>
          <w:color w:val="222222"/>
          <w:lang w:eastAsia="cs-CZ"/>
        </w:rPr>
        <w:t>Ministerstva zemědělství ČR (</w:t>
      </w:r>
      <w:r w:rsidRPr="00617AD3">
        <w:rPr>
          <w:rFonts w:eastAsia="Times New Roman" w:cstheme="minorHAnsi"/>
          <w:bCs/>
          <w:color w:val="222222"/>
          <w:lang w:eastAsia="cs-CZ"/>
        </w:rPr>
        <w:t>MZe</w:t>
      </w:r>
      <w:r w:rsidR="00F83F7D">
        <w:rPr>
          <w:rFonts w:eastAsia="Times New Roman" w:cstheme="minorHAnsi"/>
          <w:bCs/>
          <w:color w:val="222222"/>
          <w:lang w:eastAsia="cs-CZ"/>
        </w:rPr>
        <w:t>)</w:t>
      </w:r>
      <w:r w:rsidR="00BC71E9">
        <w:rPr>
          <w:rFonts w:eastAsia="Times New Roman" w:cstheme="minorHAnsi"/>
          <w:bCs/>
          <w:color w:val="222222"/>
          <w:lang w:eastAsia="cs-CZ"/>
        </w:rPr>
        <w:t>,</w:t>
      </w:r>
      <w:r w:rsidRPr="00617AD3">
        <w:rPr>
          <w:rFonts w:eastAsia="Times New Roman" w:cstheme="minorHAnsi"/>
          <w:bCs/>
          <w:color w:val="222222"/>
          <w:lang w:eastAsia="cs-CZ"/>
        </w:rPr>
        <w:t xml:space="preserve"> </w:t>
      </w:r>
      <w:r w:rsidRPr="00EE666A">
        <w:rPr>
          <w:rFonts w:eastAsia="Times New Roman" w:cstheme="minorHAnsi"/>
          <w:b/>
          <w:bCs/>
          <w:color w:val="222222"/>
          <w:lang w:eastAsia="cs-CZ"/>
        </w:rPr>
        <w:t>pro venkov největší význam</w:t>
      </w:r>
      <w:r w:rsidRPr="00617AD3">
        <w:rPr>
          <w:rFonts w:eastAsia="Times New Roman" w:cstheme="minorHAnsi"/>
          <w:bCs/>
          <w:color w:val="222222"/>
          <w:lang w:eastAsia="cs-CZ"/>
        </w:rPr>
        <w:t>.</w:t>
      </w:r>
      <w:r>
        <w:rPr>
          <w:rFonts w:eastAsia="Times New Roman" w:cstheme="minorHAnsi"/>
          <w:bCs/>
          <w:color w:val="222222"/>
          <w:lang w:eastAsia="cs-CZ"/>
        </w:rPr>
        <w:t xml:space="preserve"> </w:t>
      </w:r>
      <w:r w:rsidR="009B3DD7">
        <w:rPr>
          <w:rFonts w:eastAsia="Times New Roman" w:cstheme="minorHAnsi"/>
          <w:bCs/>
          <w:color w:val="222222"/>
          <w:lang w:eastAsia="cs-CZ"/>
        </w:rPr>
        <w:t>P</w:t>
      </w:r>
      <w:r>
        <w:rPr>
          <w:rFonts w:eastAsia="Times New Roman" w:cstheme="minorHAnsi"/>
          <w:bCs/>
          <w:color w:val="222222"/>
          <w:lang w:eastAsia="cs-CZ"/>
        </w:rPr>
        <w:t>roto</w:t>
      </w:r>
      <w:r w:rsidR="009B3DD7">
        <w:rPr>
          <w:rFonts w:eastAsia="Times New Roman" w:cstheme="minorHAnsi"/>
          <w:bCs/>
          <w:color w:val="222222"/>
          <w:lang w:eastAsia="cs-CZ"/>
        </w:rPr>
        <w:t xml:space="preserve"> se navrhuje</w:t>
      </w:r>
      <w:r>
        <w:rPr>
          <w:rFonts w:eastAsia="Times New Roman" w:cstheme="minorHAnsi"/>
          <w:bCs/>
          <w:color w:val="222222"/>
          <w:lang w:eastAsia="cs-CZ"/>
        </w:rPr>
        <w:t xml:space="preserve"> zahájit jednání </w:t>
      </w:r>
      <w:r w:rsidR="009F4EF1">
        <w:rPr>
          <w:rFonts w:eastAsia="Times New Roman" w:cstheme="minorHAnsi"/>
          <w:bCs/>
          <w:color w:val="222222"/>
          <w:lang w:eastAsia="cs-CZ"/>
        </w:rPr>
        <w:t>o</w:t>
      </w:r>
      <w:r w:rsidR="00BC71E9">
        <w:rPr>
          <w:rFonts w:eastAsia="Times New Roman" w:cstheme="minorHAnsi"/>
          <w:bCs/>
          <w:color w:val="222222"/>
          <w:lang w:eastAsia="cs-CZ"/>
        </w:rPr>
        <w:t> </w:t>
      </w:r>
      <w:r w:rsidR="009F4EF1">
        <w:rPr>
          <w:rFonts w:eastAsia="Times New Roman" w:cstheme="minorHAnsi"/>
          <w:bCs/>
          <w:color w:val="222222"/>
          <w:lang w:eastAsia="cs-CZ"/>
        </w:rPr>
        <w:t xml:space="preserve">alokacích pro CLLD </w:t>
      </w:r>
      <w:r w:rsidR="00617AD3">
        <w:rPr>
          <w:rFonts w:eastAsia="Times New Roman" w:cstheme="minorHAnsi"/>
          <w:bCs/>
          <w:color w:val="222222"/>
          <w:lang w:eastAsia="cs-CZ"/>
        </w:rPr>
        <w:t xml:space="preserve">právě u IROP. </w:t>
      </w:r>
      <w:r>
        <w:rPr>
          <w:rFonts w:eastAsia="Times New Roman" w:cstheme="minorHAnsi"/>
          <w:bCs/>
          <w:color w:val="222222"/>
          <w:lang w:eastAsia="cs-CZ"/>
        </w:rPr>
        <w:t xml:space="preserve">  </w:t>
      </w:r>
      <w:r w:rsidRPr="006368AD">
        <w:rPr>
          <w:rFonts w:eastAsia="Times New Roman" w:cstheme="minorHAnsi"/>
          <w:bCs/>
          <w:color w:val="222222"/>
          <w:lang w:eastAsia="cs-CZ"/>
        </w:rPr>
        <w:t xml:space="preserve"> </w:t>
      </w:r>
    </w:p>
    <w:p w:rsidR="00044E1A" w:rsidRPr="00044E1A" w:rsidRDefault="00044E1A" w:rsidP="00044E1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</w:p>
    <w:p w:rsidR="00044E1A" w:rsidRPr="000C5E27" w:rsidRDefault="00140936" w:rsidP="00044E1A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eastAsia="Times New Roman" w:cstheme="minorHAnsi"/>
          <w:bCs/>
          <w:color w:val="222222"/>
          <w:lang w:eastAsia="cs-CZ"/>
        </w:rPr>
      </w:pPr>
      <w:r>
        <w:rPr>
          <w:rFonts w:eastAsia="Times New Roman" w:cstheme="minorHAnsi"/>
          <w:bCs/>
          <w:color w:val="222222"/>
          <w:lang w:eastAsia="cs-CZ"/>
        </w:rPr>
        <w:t xml:space="preserve"> V </w:t>
      </w:r>
      <w:r w:rsidR="00044E1A" w:rsidRPr="000C5E27">
        <w:rPr>
          <w:rFonts w:eastAsia="Times New Roman" w:cstheme="minorHAnsi"/>
          <w:bCs/>
          <w:color w:val="222222"/>
          <w:lang w:eastAsia="cs-CZ"/>
        </w:rPr>
        <w:t xml:space="preserve">tabulce je uvedena </w:t>
      </w:r>
      <w:r w:rsidR="00044E1A" w:rsidRPr="000C5E27">
        <w:rPr>
          <w:rFonts w:eastAsia="Times New Roman" w:cstheme="minorHAnsi"/>
          <w:b/>
          <w:bCs/>
          <w:color w:val="222222"/>
          <w:lang w:eastAsia="cs-CZ"/>
        </w:rPr>
        <w:t xml:space="preserve">alokace pro IROP </w:t>
      </w:r>
      <w:r w:rsidR="00044E1A" w:rsidRPr="000C5E27">
        <w:rPr>
          <w:rFonts w:eastAsia="Times New Roman" w:cstheme="minorHAnsi"/>
          <w:bCs/>
          <w:color w:val="222222"/>
          <w:lang w:eastAsia="cs-CZ"/>
        </w:rPr>
        <w:t>s procentuálním stanovením podílů jednotlivých priorit a specifických cílů. Podle tohoto jsou vypočteny alokace v mld. Kč:</w:t>
      </w:r>
    </w:p>
    <w:p w:rsidR="007A2092" w:rsidRDefault="007A2092" w:rsidP="007A2092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olor w:val="222222"/>
          <w:lang w:eastAsia="cs-CZ"/>
        </w:rPr>
      </w:pPr>
      <w:r>
        <w:rPr>
          <w:rFonts w:eastAsia="Times New Roman" w:cstheme="minorHAnsi"/>
          <w:bCs/>
          <w:color w:val="222222"/>
          <w:lang w:eastAsia="cs-CZ"/>
        </w:rPr>
        <w:t>v mld. Kč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2533"/>
        <w:gridCol w:w="1080"/>
        <w:gridCol w:w="638"/>
        <w:gridCol w:w="2693"/>
        <w:gridCol w:w="627"/>
        <w:gridCol w:w="773"/>
      </w:tblGrid>
      <w:tr w:rsidR="007A2092" w:rsidRPr="000B162F" w:rsidTr="007A2092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Název priority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Cíl politiky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% CP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Specifický cíl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(SC)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% SC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mld. Kč</w:t>
            </w:r>
          </w:p>
        </w:tc>
      </w:tr>
      <w:tr w:rsidR="007A2092" w:rsidRPr="000B162F" w:rsidTr="007A2092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Zlepšení výkonu veřejné správy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1.1 eGovernment a kybernetická bezpečnost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23</w:t>
            </w:r>
          </w:p>
        </w:tc>
      </w:tr>
      <w:tr w:rsidR="0010129C" w:rsidRPr="000B162F" w:rsidTr="006D75DB">
        <w:trPr>
          <w:trHeight w:val="6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Rozvoj městské mobility, revitalizace mě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 a obcí, ochrana obyvatelstva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012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10129C" w:rsidRPr="000B162F" w:rsidRDefault="0010129C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2.1 Čistá a aktivní mobilita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22</w:t>
            </w:r>
          </w:p>
        </w:tc>
      </w:tr>
      <w:tr w:rsidR="0010129C" w:rsidRPr="000B162F" w:rsidTr="006D75DB">
        <w:trPr>
          <w:trHeight w:val="30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129C" w:rsidRPr="000B162F" w:rsidRDefault="0010129C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2.2 Revitalizace měst a obcí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10129C" w:rsidRPr="000B162F" w:rsidTr="006D75DB">
        <w:trPr>
          <w:trHeight w:val="600"/>
        </w:trPr>
        <w:tc>
          <w:tcPr>
            <w:tcW w:w="7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2.3 Prevence rizik, zvýšení odolnosti a ochrana obyvatelstva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29C" w:rsidRPr="000B162F" w:rsidRDefault="0010129C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</w:tr>
      <w:tr w:rsidR="007A2092" w:rsidRPr="000B162F" w:rsidTr="007A2092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Rozvoj dopravní infrastruktury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3.1 Silnice II. třídy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</w:tr>
      <w:tr w:rsidR="006D75DB" w:rsidRPr="000B162F" w:rsidTr="006D75DB">
        <w:trPr>
          <w:trHeight w:val="9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Zlepšení kvality a dostupnosti sociálních a zdravotních služeb, vzdělávací infrastruktury a rozvoj kulturního dědictví</w:t>
            </w:r>
          </w:p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4.1 Vzdělávací infrastruktura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15</w:t>
            </w:r>
          </w:p>
        </w:tc>
      </w:tr>
      <w:tr w:rsidR="006D75DB" w:rsidRPr="000B162F" w:rsidTr="006D75DB">
        <w:trPr>
          <w:trHeight w:val="30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4.2 Sociální infrastruktura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6D75DB" w:rsidRPr="000B162F" w:rsidTr="006D75DB">
        <w:trPr>
          <w:trHeight w:val="30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4. 3. Infrastruktura ve zdravotnictví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6D75DB" w:rsidRPr="000B162F" w:rsidTr="006D75DB">
        <w:trPr>
          <w:trHeight w:val="300"/>
        </w:trPr>
        <w:tc>
          <w:tcPr>
            <w:tcW w:w="7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D75DB" w:rsidRPr="000B162F" w:rsidRDefault="006D75DB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4.4 Kulturní dědictví a cestovní ruch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5DB" w:rsidRPr="000B162F" w:rsidRDefault="006D75DB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</w:tr>
      <w:tr w:rsidR="007A2092" w:rsidRPr="000B162F" w:rsidTr="007A2092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Komunitně vedený místní rozvoj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2092" w:rsidRPr="000B162F" w:rsidRDefault="007A2092" w:rsidP="00617A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5.1 Komunitně vedený místní rozvoj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</w:tr>
      <w:tr w:rsidR="007A2092" w:rsidRPr="000B162F" w:rsidTr="007A2092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122</w:t>
            </w:r>
          </w:p>
        </w:tc>
      </w:tr>
      <w:tr w:rsidR="007A2092" w:rsidRPr="000B162F" w:rsidTr="007A2092">
        <w:trPr>
          <w:trHeight w:val="300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A2092" w:rsidRPr="000B162F" w:rsidRDefault="007A2092" w:rsidP="007A209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celkem podbarvené SC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92" w:rsidRPr="000B162F" w:rsidRDefault="007A2092" w:rsidP="001664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B162F">
              <w:rPr>
                <w:rFonts w:eastAsia="Times New Roman" w:cstheme="minorHAnsi"/>
                <w:sz w:val="20"/>
                <w:szCs w:val="20"/>
                <w:lang w:eastAsia="cs-CZ"/>
              </w:rPr>
              <w:t>76</w:t>
            </w:r>
          </w:p>
        </w:tc>
      </w:tr>
    </w:tbl>
    <w:p w:rsidR="009B3DD7" w:rsidRDefault="009B3DD7" w:rsidP="007A209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cs-CZ"/>
        </w:rPr>
      </w:pPr>
    </w:p>
    <w:p w:rsidR="007A2092" w:rsidRPr="009B3DD7" w:rsidRDefault="007A2092" w:rsidP="007A209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  <w:r w:rsidRPr="009B3DD7">
        <w:rPr>
          <w:rFonts w:eastAsia="Times New Roman" w:cstheme="minorHAnsi"/>
          <w:bCs/>
          <w:color w:val="222222"/>
          <w:lang w:eastAsia="cs-CZ"/>
        </w:rPr>
        <w:t xml:space="preserve">Pro obce budou nejfrekventovanější podbarvené </w:t>
      </w:r>
      <w:r w:rsidR="00166469">
        <w:rPr>
          <w:rFonts w:eastAsia="Times New Roman" w:cstheme="minorHAnsi"/>
          <w:bCs/>
          <w:color w:val="222222"/>
          <w:lang w:eastAsia="cs-CZ"/>
        </w:rPr>
        <w:t>specifické cíle (</w:t>
      </w:r>
      <w:r w:rsidRPr="009B3DD7">
        <w:rPr>
          <w:rFonts w:eastAsia="Times New Roman" w:cstheme="minorHAnsi"/>
          <w:bCs/>
          <w:color w:val="222222"/>
          <w:lang w:eastAsia="cs-CZ"/>
        </w:rPr>
        <w:t>SC</w:t>
      </w:r>
      <w:r w:rsidR="00166469">
        <w:rPr>
          <w:rFonts w:eastAsia="Times New Roman" w:cstheme="minorHAnsi"/>
          <w:bCs/>
          <w:color w:val="222222"/>
          <w:lang w:eastAsia="cs-CZ"/>
        </w:rPr>
        <w:t>)</w:t>
      </w:r>
      <w:r w:rsidR="00AA29B1">
        <w:rPr>
          <w:rFonts w:eastAsia="Times New Roman" w:cstheme="minorHAnsi"/>
          <w:bCs/>
          <w:color w:val="222222"/>
          <w:lang w:eastAsia="cs-CZ"/>
        </w:rPr>
        <w:t xml:space="preserve"> a to jak v případě individuálních projektů, tak u projektů realizovaných v </w:t>
      </w:r>
      <w:r w:rsidRPr="009B3DD7">
        <w:rPr>
          <w:rFonts w:eastAsia="Times New Roman" w:cstheme="minorHAnsi"/>
          <w:bCs/>
          <w:color w:val="222222"/>
          <w:lang w:eastAsia="cs-CZ"/>
        </w:rPr>
        <w:t xml:space="preserve">rámci </w:t>
      </w:r>
      <w:r w:rsidR="00617AD3" w:rsidRPr="009B3DD7">
        <w:rPr>
          <w:rFonts w:eastAsia="Times New Roman" w:cstheme="minorHAnsi"/>
          <w:bCs/>
          <w:color w:val="222222"/>
          <w:lang w:eastAsia="cs-CZ"/>
        </w:rPr>
        <w:t>CLLD</w:t>
      </w:r>
      <w:r w:rsidRPr="009B3DD7">
        <w:rPr>
          <w:rFonts w:eastAsia="Times New Roman" w:cstheme="minorHAnsi"/>
          <w:bCs/>
          <w:color w:val="222222"/>
          <w:lang w:eastAsia="cs-CZ"/>
        </w:rPr>
        <w:t xml:space="preserve"> na základě strategií MAS.</w:t>
      </w:r>
    </w:p>
    <w:p w:rsidR="007A2092" w:rsidRPr="00806AF8" w:rsidRDefault="007A2092" w:rsidP="007A20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</w:p>
    <w:p w:rsidR="00177ABE" w:rsidRPr="00F83F7D" w:rsidRDefault="00177ABE" w:rsidP="00F83F7D">
      <w:pPr>
        <w:shd w:val="clear" w:color="auto" w:fill="FFFFFF"/>
        <w:spacing w:after="0" w:line="240" w:lineRule="auto"/>
        <w:ind w:firstLine="397"/>
        <w:jc w:val="both"/>
        <w:rPr>
          <w:rFonts w:eastAsia="Times New Roman" w:cstheme="minorHAnsi"/>
          <w:color w:val="000000" w:themeColor="text1"/>
          <w:lang w:eastAsia="cs-CZ"/>
        </w:rPr>
      </w:pPr>
      <w:r w:rsidRPr="00F83F7D">
        <w:rPr>
          <w:rFonts w:cstheme="minorHAnsi"/>
          <w:color w:val="000000" w:themeColor="text1"/>
        </w:rPr>
        <w:t>2.</w:t>
      </w:r>
      <w:r w:rsidR="00BD0645">
        <w:rPr>
          <w:rFonts w:cstheme="minorHAnsi"/>
          <w:color w:val="000000" w:themeColor="text1"/>
        </w:rPr>
        <w:t>2</w:t>
      </w:r>
      <w:r w:rsidRPr="00F83F7D">
        <w:rPr>
          <w:rFonts w:cstheme="minorHAnsi"/>
          <w:color w:val="000000" w:themeColor="text1"/>
        </w:rPr>
        <w:t xml:space="preserve">. </w:t>
      </w:r>
      <w:r w:rsidR="004F38E0">
        <w:rPr>
          <w:rFonts w:cstheme="minorHAnsi"/>
          <w:b/>
          <w:color w:val="000000" w:themeColor="text1"/>
        </w:rPr>
        <w:t>Příklady</w:t>
      </w:r>
      <w:r w:rsidRPr="00F83F7D">
        <w:rPr>
          <w:rFonts w:cstheme="minorHAnsi"/>
          <w:b/>
          <w:color w:val="000000" w:themeColor="text1"/>
        </w:rPr>
        <w:t xml:space="preserve"> projektů v rámci specifického c</w:t>
      </w:r>
      <w:r w:rsidRPr="00F83F7D">
        <w:rPr>
          <w:rFonts w:eastAsia="Times New Roman" w:cstheme="minorHAnsi"/>
          <w:b/>
          <w:color w:val="000000" w:themeColor="text1"/>
          <w:lang w:eastAsia="cs-CZ"/>
        </w:rPr>
        <w:t>íle 5.1</w:t>
      </w:r>
      <w:r w:rsidRPr="00F83F7D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F83F7D">
        <w:rPr>
          <w:rFonts w:eastAsia="Times New Roman" w:cstheme="minorHAnsi"/>
          <w:b/>
          <w:color w:val="000000" w:themeColor="text1"/>
          <w:lang w:eastAsia="cs-CZ"/>
        </w:rPr>
        <w:t xml:space="preserve">Komunitně vedený místní rozvoj </w:t>
      </w:r>
      <w:r w:rsidR="00BD0645" w:rsidRPr="00BD0645">
        <w:rPr>
          <w:rFonts w:eastAsia="Times New Roman" w:cstheme="minorHAnsi"/>
          <w:color w:val="000000" w:themeColor="text1"/>
          <w:lang w:eastAsia="cs-CZ"/>
        </w:rPr>
        <w:t>byl</w:t>
      </w:r>
      <w:r w:rsidR="004F38E0">
        <w:rPr>
          <w:rFonts w:eastAsia="Times New Roman" w:cstheme="minorHAnsi"/>
          <w:color w:val="000000" w:themeColor="text1"/>
          <w:lang w:eastAsia="cs-CZ"/>
        </w:rPr>
        <w:t>y</w:t>
      </w:r>
      <w:r w:rsidR="00BD0645" w:rsidRPr="00BD064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38E0">
        <w:rPr>
          <w:rFonts w:eastAsia="Times New Roman" w:cstheme="minorHAnsi"/>
          <w:color w:val="000000" w:themeColor="text1"/>
          <w:lang w:eastAsia="cs-CZ"/>
        </w:rPr>
        <w:t>uvedeny</w:t>
      </w:r>
      <w:r w:rsidR="00BD0645" w:rsidRPr="00BD064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BD0645">
        <w:rPr>
          <w:rFonts w:eastAsia="Times New Roman" w:cstheme="minorHAnsi"/>
          <w:color w:val="000000" w:themeColor="text1"/>
          <w:lang w:eastAsia="cs-CZ"/>
        </w:rPr>
        <w:t>v prezentac</w:t>
      </w:r>
      <w:r w:rsidR="00F83F7D" w:rsidRPr="00BD0645">
        <w:rPr>
          <w:rFonts w:eastAsia="Times New Roman" w:cstheme="minorHAnsi"/>
          <w:color w:val="000000" w:themeColor="text1"/>
          <w:lang w:eastAsia="cs-CZ"/>
        </w:rPr>
        <w:t>i</w:t>
      </w:r>
      <w:r w:rsidRPr="00BD064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83F7D" w:rsidRPr="00BD0645">
        <w:rPr>
          <w:rFonts w:eastAsia="Times New Roman" w:cstheme="minorHAnsi"/>
          <w:color w:val="000000" w:themeColor="text1"/>
          <w:lang w:eastAsia="cs-CZ"/>
        </w:rPr>
        <w:t xml:space="preserve">Ing. </w:t>
      </w:r>
      <w:r w:rsidRPr="00BD0645">
        <w:rPr>
          <w:rFonts w:eastAsia="Times New Roman" w:cstheme="minorHAnsi"/>
          <w:color w:val="000000" w:themeColor="text1"/>
          <w:lang w:eastAsia="cs-CZ"/>
        </w:rPr>
        <w:t>Lenky Kriegischové</w:t>
      </w:r>
      <w:r w:rsidR="00F83F7D" w:rsidRPr="00BD0645">
        <w:rPr>
          <w:rFonts w:eastAsia="Times New Roman" w:cstheme="minorHAnsi"/>
          <w:color w:val="000000" w:themeColor="text1"/>
          <w:lang w:eastAsia="cs-CZ"/>
        </w:rPr>
        <w:t>, vedoucí oddělení implementace integrova</w:t>
      </w:r>
      <w:r w:rsidR="00F83F7D">
        <w:rPr>
          <w:rFonts w:eastAsia="Times New Roman" w:cstheme="minorHAnsi"/>
          <w:color w:val="000000" w:themeColor="text1"/>
          <w:lang w:eastAsia="cs-CZ"/>
        </w:rPr>
        <w:t xml:space="preserve">ných nástrojů </w:t>
      </w:r>
      <w:r w:rsidR="003516CF">
        <w:rPr>
          <w:rFonts w:eastAsia="Times New Roman" w:cstheme="minorHAnsi"/>
          <w:color w:val="000000" w:themeColor="text1"/>
          <w:lang w:eastAsia="cs-CZ"/>
        </w:rPr>
        <w:t>o</w:t>
      </w:r>
      <w:r w:rsidR="00F83F7D">
        <w:rPr>
          <w:rFonts w:eastAsia="Times New Roman" w:cstheme="minorHAnsi"/>
          <w:color w:val="000000" w:themeColor="text1"/>
          <w:lang w:eastAsia="cs-CZ"/>
        </w:rPr>
        <w:t xml:space="preserve">dboru řízení operačních programů MMR, </w:t>
      </w:r>
      <w:r w:rsidRPr="00F83F7D">
        <w:rPr>
          <w:rFonts w:eastAsia="Times New Roman" w:cstheme="minorHAnsi"/>
          <w:color w:val="000000" w:themeColor="text1"/>
          <w:lang w:eastAsia="cs-CZ"/>
        </w:rPr>
        <w:t>na setkání územních partnerů ve Žďáru nad Sázavou</w:t>
      </w:r>
      <w:r w:rsidR="00BD0645">
        <w:rPr>
          <w:rFonts w:eastAsia="Times New Roman" w:cstheme="minorHAnsi"/>
          <w:color w:val="000000" w:themeColor="text1"/>
          <w:lang w:eastAsia="cs-CZ"/>
        </w:rPr>
        <w:t xml:space="preserve"> 21. září 2020 takto:</w:t>
      </w:r>
      <w:r w:rsidRPr="00F83F7D">
        <w:rPr>
          <w:rFonts w:eastAsia="Times New Roman" w:cstheme="minorHAnsi"/>
          <w:color w:val="000000" w:themeColor="text1"/>
          <w:lang w:eastAsia="cs-CZ"/>
        </w:rPr>
        <w:t> </w:t>
      </w:r>
    </w:p>
    <w:p w:rsidR="00B460C5" w:rsidRPr="00B460C5" w:rsidRDefault="00177ABE" w:rsidP="0041040A">
      <w:pPr>
        <w:pStyle w:val="Odstavecseseznamem"/>
        <w:numPr>
          <w:ilvl w:val="0"/>
          <w:numId w:val="10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460C5">
        <w:rPr>
          <w:rFonts w:eastAsia="Times New Roman" w:cstheme="minorHAnsi"/>
          <w:color w:val="000000" w:themeColor="text1"/>
          <w:lang w:eastAsia="cs-CZ"/>
        </w:rPr>
        <w:t>Bezpečnost v dopravě (např. chodníky, mosty, retardéry, semafory…) vč</w:t>
      </w:r>
      <w:r w:rsidR="00BD0645" w:rsidRPr="00B460C5">
        <w:rPr>
          <w:rFonts w:eastAsia="Times New Roman" w:cstheme="minorHAnsi"/>
          <w:color w:val="000000" w:themeColor="text1"/>
          <w:lang w:eastAsia="cs-CZ"/>
        </w:rPr>
        <w:t>etně</w:t>
      </w:r>
      <w:r w:rsidRPr="00B460C5">
        <w:rPr>
          <w:rFonts w:eastAsia="Times New Roman" w:cstheme="minorHAnsi"/>
          <w:color w:val="000000" w:themeColor="text1"/>
          <w:lang w:eastAsia="cs-CZ"/>
        </w:rPr>
        <w:t xml:space="preserve"> rekonstrukcí místních komunikací</w:t>
      </w:r>
    </w:p>
    <w:p w:rsidR="00177ABE" w:rsidRPr="00B460C5" w:rsidRDefault="00177ABE" w:rsidP="0041040A">
      <w:pPr>
        <w:pStyle w:val="Odstavecseseznamem"/>
        <w:numPr>
          <w:ilvl w:val="0"/>
          <w:numId w:val="10"/>
        </w:numPr>
        <w:shd w:val="clear" w:color="auto" w:fill="FFFFFF"/>
        <w:spacing w:before="60" w:after="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460C5">
        <w:rPr>
          <w:rFonts w:eastAsia="Times New Roman" w:cstheme="minorHAnsi"/>
          <w:color w:val="000000" w:themeColor="text1"/>
          <w:lang w:eastAsia="cs-CZ"/>
        </w:rPr>
        <w:t>Infrastruktura pro cyklistickou dopravu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Revitalizace veřejných prostranství a budování zelené infrastruktury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Podpora jednotek sboru dobrovolných hasičů kategorie II, III, V (požární zbrojnice, požární technika, zdroje požární vody v obcích)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Modernizace mateřských škol a infrastruktury dětských skupin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Základní školy ve vazbě na odborné učebny a učebny neúplných škol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Infrastruktura pro sociální služby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Revitalizace kulturních památek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Revitalizace a vybavení městských a obecních muzeí</w:t>
      </w:r>
    </w:p>
    <w:p w:rsidR="00177ABE" w:rsidRPr="00BD0645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12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Rekonstrukce a vybavení obecních profesionálních knihoven</w:t>
      </w:r>
    </w:p>
    <w:p w:rsidR="00CA2A2D" w:rsidRPr="00352C0A" w:rsidRDefault="00177ABE" w:rsidP="0041040A">
      <w:pPr>
        <w:pStyle w:val="Odstavecseseznamem"/>
        <w:numPr>
          <w:ilvl w:val="0"/>
          <w:numId w:val="6"/>
        </w:numPr>
        <w:shd w:val="clear" w:color="auto" w:fill="FFFFFF"/>
        <w:spacing w:before="60" w:after="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BD0645">
        <w:rPr>
          <w:rFonts w:eastAsia="Times New Roman" w:cstheme="minorHAnsi"/>
          <w:color w:val="000000" w:themeColor="text1"/>
          <w:lang w:eastAsia="cs-CZ"/>
        </w:rPr>
        <w:t>Veřejná infrastruktura udržitelného cestovního ruchu</w:t>
      </w:r>
    </w:p>
    <w:p w:rsidR="00CA2A2D" w:rsidRDefault="00AA29B1" w:rsidP="00352C0A">
      <w:pPr>
        <w:pStyle w:val="Odstavecseseznamem"/>
        <w:shd w:val="clear" w:color="auto" w:fill="FFFFFF"/>
        <w:spacing w:before="160" w:after="0" w:line="240" w:lineRule="auto"/>
        <w:ind w:left="0"/>
        <w:contextualSpacing w:val="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Tento výčet</w:t>
      </w:r>
      <w:r w:rsidR="00CA2A2D">
        <w:rPr>
          <w:rFonts w:eastAsia="Times New Roman" w:cstheme="minorHAnsi"/>
          <w:color w:val="000000" w:themeColor="text1"/>
          <w:lang w:eastAsia="cs-CZ"/>
        </w:rPr>
        <w:t xml:space="preserve"> se navrhuje doplnit</w:t>
      </w:r>
      <w:r w:rsidR="00352C0A">
        <w:rPr>
          <w:rFonts w:eastAsia="Times New Roman" w:cstheme="minorHAnsi"/>
          <w:color w:val="000000" w:themeColor="text1"/>
          <w:lang w:eastAsia="cs-CZ"/>
        </w:rPr>
        <w:t xml:space="preserve"> o</w:t>
      </w:r>
      <w:r w:rsidR="00CA2A2D">
        <w:rPr>
          <w:rFonts w:eastAsia="Times New Roman" w:cstheme="minorHAnsi"/>
          <w:color w:val="000000" w:themeColor="text1"/>
          <w:lang w:eastAsia="cs-CZ"/>
        </w:rPr>
        <w:t>:</w:t>
      </w:r>
    </w:p>
    <w:p w:rsidR="00CA2A2D" w:rsidRDefault="00AA29B1" w:rsidP="0041040A">
      <w:pPr>
        <w:pStyle w:val="Odstavecseseznamem"/>
        <w:numPr>
          <w:ilvl w:val="0"/>
          <w:numId w:val="11"/>
        </w:numPr>
        <w:shd w:val="clear" w:color="auto" w:fill="FFFFFF"/>
        <w:spacing w:before="60" w:after="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Rozvoj kulturního a kreativního sektoru</w:t>
      </w:r>
    </w:p>
    <w:p w:rsidR="003E0DD4" w:rsidRDefault="003E0DD4" w:rsidP="0041040A">
      <w:pPr>
        <w:pStyle w:val="Odstavecseseznamem"/>
        <w:numPr>
          <w:ilvl w:val="0"/>
          <w:numId w:val="11"/>
        </w:numPr>
        <w:shd w:val="clear" w:color="auto" w:fill="FFFFFF"/>
        <w:spacing w:before="60" w:after="0" w:line="240" w:lineRule="auto"/>
        <w:ind w:left="357" w:hanging="357"/>
        <w:contextualSpacing w:val="0"/>
        <w:rPr>
          <w:rFonts w:eastAsia="Times New Roman" w:cstheme="minorHAnsi"/>
          <w:color w:val="000000" w:themeColor="text1"/>
          <w:lang w:eastAsia="cs-CZ"/>
        </w:rPr>
      </w:pPr>
      <w:r w:rsidRPr="003E0DD4">
        <w:rPr>
          <w:rFonts w:eastAsia="Times New Roman" w:cstheme="minorHAnsi"/>
          <w:color w:val="000000" w:themeColor="text1"/>
          <w:lang w:eastAsia="cs-CZ"/>
        </w:rPr>
        <w:t>Realizace energeticky úsporných opatření při rekonstrukci systémů veřejného osvětlení</w:t>
      </w:r>
    </w:p>
    <w:p w:rsidR="00177ABE" w:rsidRPr="00BD0645" w:rsidRDefault="00177ABE" w:rsidP="00BD0645">
      <w:pPr>
        <w:spacing w:after="0" w:line="240" w:lineRule="auto"/>
        <w:jc w:val="both"/>
        <w:rPr>
          <w:rFonts w:cstheme="minorHAnsi"/>
        </w:rPr>
      </w:pPr>
      <w:r w:rsidRPr="00BD0645">
        <w:rPr>
          <w:rFonts w:cstheme="minorHAnsi"/>
        </w:rPr>
        <w:t xml:space="preserve"> </w:t>
      </w:r>
    </w:p>
    <w:p w:rsidR="007A2092" w:rsidRPr="00BD0645" w:rsidRDefault="00BD0645" w:rsidP="00BD0645">
      <w:pPr>
        <w:pStyle w:val="Odstavecseseznamem"/>
        <w:numPr>
          <w:ilvl w:val="1"/>
          <w:numId w:val="9"/>
        </w:numPr>
        <w:spacing w:after="0" w:line="240" w:lineRule="auto"/>
        <w:ind w:left="0" w:firstLine="357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A2092" w:rsidRPr="00BD0645">
        <w:rPr>
          <w:rFonts w:cstheme="minorHAnsi"/>
        </w:rPr>
        <w:t>V roce 201</w:t>
      </w:r>
      <w:r w:rsidR="004F7194" w:rsidRPr="00BD0645">
        <w:rPr>
          <w:rFonts w:cstheme="minorHAnsi"/>
        </w:rPr>
        <w:t>8</w:t>
      </w:r>
      <w:r w:rsidR="007A2092" w:rsidRPr="00BD0645">
        <w:rPr>
          <w:rFonts w:cstheme="minorHAnsi"/>
        </w:rPr>
        <w:t xml:space="preserve"> v ČR působilo </w:t>
      </w:r>
      <w:r w:rsidR="007A2092" w:rsidRPr="00BD0645">
        <w:rPr>
          <w:rFonts w:cstheme="minorHAnsi"/>
          <w:b/>
          <w:bCs/>
        </w:rPr>
        <w:t>180 MAS</w:t>
      </w:r>
      <w:r w:rsidR="007A2092" w:rsidRPr="00BD0645">
        <w:rPr>
          <w:rFonts w:cstheme="minorHAnsi"/>
        </w:rPr>
        <w:t xml:space="preserve"> </w:t>
      </w:r>
      <w:r w:rsidR="007A2092" w:rsidRPr="00BD0645">
        <w:rPr>
          <w:rFonts w:cstheme="minorHAnsi"/>
          <w:b/>
        </w:rPr>
        <w:t>na 89 % území</w:t>
      </w:r>
      <w:r w:rsidR="007A2092" w:rsidRPr="00BD0645">
        <w:rPr>
          <w:rFonts w:cstheme="minorHAnsi"/>
        </w:rPr>
        <w:t xml:space="preserve"> </w:t>
      </w:r>
      <w:r w:rsidR="007A2092" w:rsidRPr="00BD0645">
        <w:rPr>
          <w:rFonts w:cstheme="minorHAnsi"/>
          <w:b/>
        </w:rPr>
        <w:t>republiky</w:t>
      </w:r>
      <w:r w:rsidR="007A2092" w:rsidRPr="00BD0645">
        <w:rPr>
          <w:rFonts w:cstheme="minorHAnsi"/>
        </w:rPr>
        <w:t xml:space="preserve"> </w:t>
      </w:r>
      <w:r w:rsidR="007A2092" w:rsidRPr="00BD0645">
        <w:rPr>
          <w:rFonts w:cstheme="minorHAnsi"/>
          <w:b/>
        </w:rPr>
        <w:t>s 56 % jejího obyvatelstva</w:t>
      </w:r>
      <w:r w:rsidR="007A2092" w:rsidRPr="00BD0645">
        <w:rPr>
          <w:rFonts w:cstheme="minorHAnsi"/>
        </w:rPr>
        <w:t>. Současný stav je podobný</w:t>
      </w:r>
      <w:r w:rsidR="003C2AC6" w:rsidRPr="00BD0645">
        <w:rPr>
          <w:rFonts w:cstheme="minorHAnsi"/>
        </w:rPr>
        <w:t xml:space="preserve"> (počet obyvatel území MAS</w:t>
      </w:r>
      <w:r w:rsidR="006D75DB" w:rsidRPr="00BD0645">
        <w:rPr>
          <w:rFonts w:cstheme="minorHAnsi"/>
        </w:rPr>
        <w:t xml:space="preserve"> podle tabulky </w:t>
      </w:r>
      <w:r w:rsidR="000D43AF">
        <w:rPr>
          <w:rFonts w:cstheme="minorHAnsi"/>
        </w:rPr>
        <w:t>v příloze</w:t>
      </w:r>
      <w:r w:rsidR="003C2AC6" w:rsidRPr="00BD0645">
        <w:rPr>
          <w:rFonts w:cstheme="minorHAnsi"/>
        </w:rPr>
        <w:t xml:space="preserve"> již dosahuje 6</w:t>
      </w:r>
      <w:r w:rsidR="006D75DB" w:rsidRPr="00BD0645">
        <w:rPr>
          <w:rFonts w:cstheme="minorHAnsi"/>
        </w:rPr>
        <w:t>3 </w:t>
      </w:r>
      <w:r w:rsidR="003C2AC6" w:rsidRPr="00BD0645">
        <w:rPr>
          <w:rFonts w:cstheme="minorHAnsi"/>
        </w:rPr>
        <w:t>% obyvatel republiky)</w:t>
      </w:r>
      <w:r w:rsidR="007A2092" w:rsidRPr="00BD0645">
        <w:rPr>
          <w:rFonts w:cstheme="minorHAnsi"/>
        </w:rPr>
        <w:t>. Spo</w:t>
      </w:r>
      <w:r w:rsidR="007D1030">
        <w:rPr>
          <w:rFonts w:cstheme="minorHAnsi"/>
        </w:rPr>
        <w:t>lek pro obnovu venkova ČR (SPOV</w:t>
      </w:r>
      <w:r w:rsidR="007A2092" w:rsidRPr="00BD0645">
        <w:rPr>
          <w:rFonts w:cstheme="minorHAnsi"/>
        </w:rPr>
        <w:t>) v té době navrhoval, aby v</w:t>
      </w:r>
      <w:r w:rsidR="006D75DB" w:rsidRPr="00BD0645">
        <w:rPr>
          <w:rFonts w:cstheme="minorHAnsi"/>
        </w:rPr>
        <w:t> </w:t>
      </w:r>
      <w:r w:rsidR="007A2092" w:rsidRPr="00BD0645">
        <w:rPr>
          <w:rFonts w:cstheme="minorHAnsi"/>
        </w:rPr>
        <w:t xml:space="preserve">období 2021-2027 objem prostředků z jednotlivých OP na projekty administrované místními akčními skupinami dosáhl </w:t>
      </w:r>
      <w:r w:rsidR="00567B06">
        <w:rPr>
          <w:rFonts w:cstheme="minorHAnsi"/>
          <w:b/>
          <w:bCs/>
        </w:rPr>
        <w:t>třetiny z c</w:t>
      </w:r>
      <w:r w:rsidR="007A2092" w:rsidRPr="00BD0645">
        <w:rPr>
          <w:rFonts w:cstheme="minorHAnsi"/>
          <w:b/>
          <w:bCs/>
        </w:rPr>
        <w:t>elkového objemu podpory z evropských fondů bez započtení PRV</w:t>
      </w:r>
      <w:r w:rsidR="007A2092" w:rsidRPr="00BD0645">
        <w:rPr>
          <w:rFonts w:cstheme="minorHAnsi"/>
        </w:rPr>
        <w:t>, který má vlastní pravidla financování.</w:t>
      </w:r>
    </w:p>
    <w:p w:rsidR="007A2092" w:rsidRPr="00806AF8" w:rsidRDefault="007A2092" w:rsidP="007A2092">
      <w:pPr>
        <w:pStyle w:val="Odstavecseseznamem"/>
        <w:spacing w:after="0" w:line="240" w:lineRule="auto"/>
        <w:ind w:left="284" w:firstLine="357"/>
        <w:jc w:val="both"/>
        <w:rPr>
          <w:rFonts w:cstheme="minorHAnsi"/>
        </w:rPr>
      </w:pPr>
    </w:p>
    <w:p w:rsidR="007A2092" w:rsidRPr="00494F17" w:rsidRDefault="00245E62" w:rsidP="00494F17">
      <w:pPr>
        <w:spacing w:after="0" w:line="240" w:lineRule="auto"/>
        <w:ind w:firstLine="360"/>
        <w:jc w:val="both"/>
        <w:rPr>
          <w:rFonts w:cstheme="minorHAnsi"/>
          <w:b/>
        </w:rPr>
      </w:pPr>
      <w:r>
        <w:rPr>
          <w:rFonts w:cstheme="minorHAnsi"/>
        </w:rPr>
        <w:t>2</w:t>
      </w:r>
      <w:r w:rsidR="007A2092">
        <w:rPr>
          <w:rFonts w:cstheme="minorHAnsi"/>
        </w:rPr>
        <w:t>.</w:t>
      </w:r>
      <w:r w:rsidR="00BD0645">
        <w:rPr>
          <w:rFonts w:cstheme="minorHAnsi"/>
        </w:rPr>
        <w:t>4</w:t>
      </w:r>
      <w:r w:rsidR="007A2092">
        <w:rPr>
          <w:rFonts w:cstheme="minorHAnsi"/>
        </w:rPr>
        <w:t>.</w:t>
      </w:r>
      <w:r w:rsidR="007A2092" w:rsidRPr="008B2B99">
        <w:rPr>
          <w:rFonts w:cstheme="minorHAnsi"/>
        </w:rPr>
        <w:t xml:space="preserve"> Pro další jednání v l</w:t>
      </w:r>
      <w:r w:rsidR="007D1030">
        <w:rPr>
          <w:rFonts w:cstheme="minorHAnsi"/>
        </w:rPr>
        <w:t xml:space="preserve">istopadu 2019 připravil SPOV </w:t>
      </w:r>
      <w:r w:rsidR="007A2092" w:rsidRPr="008B2B99">
        <w:rPr>
          <w:rFonts w:cstheme="minorHAnsi"/>
        </w:rPr>
        <w:t xml:space="preserve">návrh, aby bylo </w:t>
      </w:r>
      <w:r w:rsidR="007A2092" w:rsidRPr="008B2B99">
        <w:rPr>
          <w:rFonts w:cstheme="minorHAnsi"/>
          <w:b/>
        </w:rPr>
        <w:t>pro CLLD v rámci IROP</w:t>
      </w:r>
      <w:r w:rsidR="007A2092" w:rsidRPr="008B2B99">
        <w:rPr>
          <w:rFonts w:cstheme="minorHAnsi"/>
        </w:rPr>
        <w:t xml:space="preserve"> vyčleněno </w:t>
      </w:r>
      <w:r w:rsidR="007A2092" w:rsidRPr="008B2B99">
        <w:rPr>
          <w:rFonts w:cstheme="minorHAnsi"/>
          <w:b/>
        </w:rPr>
        <w:t>min. 23 mld. Kč</w:t>
      </w:r>
      <w:r w:rsidR="007A2092" w:rsidRPr="008B2B99">
        <w:rPr>
          <w:rFonts w:cstheme="minorHAnsi"/>
        </w:rPr>
        <w:t>, což je 2,3x více než návrh</w:t>
      </w:r>
      <w:r w:rsidR="00494F17">
        <w:rPr>
          <w:rFonts w:cstheme="minorHAnsi"/>
        </w:rPr>
        <w:t xml:space="preserve"> uvedený v bodě 2.1</w:t>
      </w:r>
      <w:r w:rsidR="007A2092" w:rsidRPr="008B2B99">
        <w:rPr>
          <w:rFonts w:cstheme="minorHAnsi"/>
        </w:rPr>
        <w:t>. Pokud to srovnáme s pod</w:t>
      </w:r>
      <w:r w:rsidR="007A2092">
        <w:rPr>
          <w:rFonts w:cstheme="minorHAnsi"/>
        </w:rPr>
        <w:t>barve</w:t>
      </w:r>
      <w:r w:rsidR="007A2092" w:rsidRPr="008B2B99">
        <w:rPr>
          <w:rFonts w:cstheme="minorHAnsi"/>
        </w:rPr>
        <w:t>nými SC, představuje to 30 % souhrnu jejich alokace.</w:t>
      </w:r>
      <w:r w:rsidR="007A2092" w:rsidRPr="008B2B99">
        <w:rPr>
          <w:rFonts w:cstheme="minorHAnsi"/>
          <w:b/>
        </w:rPr>
        <w:t xml:space="preserve"> </w:t>
      </w:r>
      <w:r w:rsidR="00494F17" w:rsidRPr="00494F17">
        <w:rPr>
          <w:rFonts w:cstheme="minorHAnsi"/>
          <w:b/>
        </w:rPr>
        <w:t>Průměrná alokace z IROP na MAS by dosáhla 128 mil. Kč, tj.  18 mil. Kč ročně.</w:t>
      </w:r>
    </w:p>
    <w:p w:rsidR="007A4902" w:rsidRPr="00494F17" w:rsidRDefault="007A4902" w:rsidP="007A2092">
      <w:pPr>
        <w:spacing w:after="0" w:line="240" w:lineRule="auto"/>
        <w:ind w:firstLine="360"/>
        <w:jc w:val="both"/>
        <w:rPr>
          <w:rFonts w:cstheme="minorHAnsi"/>
        </w:rPr>
      </w:pPr>
    </w:p>
    <w:p w:rsidR="00F96BF9" w:rsidRPr="00F96BF9" w:rsidRDefault="00494F17" w:rsidP="00F96BF9">
      <w:pPr>
        <w:spacing w:after="0" w:line="240" w:lineRule="auto"/>
        <w:ind w:firstLine="340"/>
        <w:jc w:val="both"/>
      </w:pPr>
      <w:r>
        <w:t>3</w:t>
      </w:r>
      <w:r w:rsidRPr="00494F17">
        <w:t>.</w:t>
      </w:r>
      <w:r w:rsidR="007A4902" w:rsidRPr="00494F17">
        <w:t xml:space="preserve"> </w:t>
      </w:r>
      <w:r w:rsidR="007A4902" w:rsidRPr="00494F17">
        <w:rPr>
          <w:b/>
        </w:rPr>
        <w:t>V souladu s principy subsidiarity i víceúrovňové správy se navrhuje umožnit každé MAS, aby si v rámci finančního limitu vybrala v souladu se svou strategií projekty, které upřednostňuje</w:t>
      </w:r>
      <w:r w:rsidR="007A4902" w:rsidRPr="00494F17">
        <w:t xml:space="preserve">. </w:t>
      </w:r>
      <w:r w:rsidR="00590BD7">
        <w:t>Věcné zaměření</w:t>
      </w:r>
      <w:r w:rsidR="00F96BF9">
        <w:t xml:space="preserve"> projektů </w:t>
      </w:r>
      <w:r w:rsidR="00590BD7">
        <w:t>dle</w:t>
      </w:r>
      <w:r w:rsidR="00F96BF9">
        <w:t xml:space="preserve"> bod</w:t>
      </w:r>
      <w:r w:rsidR="00590BD7">
        <w:t>u</w:t>
      </w:r>
      <w:r w:rsidR="00F96BF9">
        <w:t xml:space="preserve"> 2.2. výše</w:t>
      </w:r>
      <w:r w:rsidR="00590BD7">
        <w:t xml:space="preserve"> je orientační (čerpání bude vykazováno za celý SC 5.1</w:t>
      </w:r>
      <w:r w:rsidR="00F96BF9">
        <w:t>.</w:t>
      </w:r>
      <w:r w:rsidR="00590BD7">
        <w:t>).</w:t>
      </w:r>
    </w:p>
    <w:p w:rsidR="007A4902" w:rsidRDefault="007A4902" w:rsidP="007A2092">
      <w:pPr>
        <w:spacing w:after="0" w:line="240" w:lineRule="auto"/>
        <w:ind w:firstLine="360"/>
        <w:jc w:val="both"/>
        <w:rPr>
          <w:rFonts w:cstheme="minorHAnsi"/>
        </w:rPr>
      </w:pPr>
    </w:p>
    <w:p w:rsidR="009B3DD7" w:rsidRDefault="00240CCF" w:rsidP="009B3DD7">
      <w:pPr>
        <w:spacing w:after="0" w:line="240" w:lineRule="auto"/>
        <w:ind w:firstLine="340"/>
        <w:jc w:val="both"/>
        <w:rPr>
          <w:rFonts w:cstheme="minorHAnsi"/>
        </w:rPr>
      </w:pPr>
      <w:r>
        <w:rPr>
          <w:rFonts w:cstheme="minorHAnsi"/>
        </w:rPr>
        <w:t xml:space="preserve">3.1. </w:t>
      </w:r>
      <w:r w:rsidR="009B3DD7">
        <w:rPr>
          <w:rFonts w:cstheme="minorHAnsi"/>
        </w:rPr>
        <w:t>Bude možné</w:t>
      </w:r>
      <w:r>
        <w:rPr>
          <w:rFonts w:cstheme="minorHAnsi"/>
        </w:rPr>
        <w:t xml:space="preserve"> </w:t>
      </w:r>
      <w:r w:rsidR="007A2092" w:rsidRPr="00240CCF">
        <w:rPr>
          <w:b/>
        </w:rPr>
        <w:t>odvozovat finanční limit alokace z Evro</w:t>
      </w:r>
      <w:r w:rsidR="00166469">
        <w:rPr>
          <w:b/>
        </w:rPr>
        <w:t xml:space="preserve">pských fondů pro jednotlivé MAS </w:t>
      </w:r>
      <w:r w:rsidR="007A2092" w:rsidRPr="00240CCF">
        <w:rPr>
          <w:b/>
        </w:rPr>
        <w:t>od průměrného příjmu na obyvatele, stanoveného pro každou MAS individuálně</w:t>
      </w:r>
      <w:r w:rsidR="007A2092" w:rsidRPr="001D5722">
        <w:t>.</w:t>
      </w:r>
      <w:r w:rsidR="007A2092" w:rsidRPr="00240CCF">
        <w:rPr>
          <w:b/>
        </w:rPr>
        <w:t xml:space="preserve"> </w:t>
      </w:r>
      <w:r w:rsidR="007A2092">
        <w:t>Informace</w:t>
      </w:r>
      <w:r w:rsidR="007A2092" w:rsidRPr="00240CCF">
        <w:rPr>
          <w:b/>
        </w:rPr>
        <w:t xml:space="preserve"> </w:t>
      </w:r>
      <w:r w:rsidR="007A2092">
        <w:t>o </w:t>
      </w:r>
      <w:r w:rsidR="007A2092" w:rsidRPr="00745A6F">
        <w:t>průměrné</w:t>
      </w:r>
      <w:r w:rsidR="007A2092">
        <w:t>m</w:t>
      </w:r>
      <w:r w:rsidR="007A2092" w:rsidRPr="00745A6F">
        <w:t xml:space="preserve"> příjmu na </w:t>
      </w:r>
      <w:r w:rsidR="007A2092">
        <w:t>obyvatele budou</w:t>
      </w:r>
      <w:r w:rsidR="007A2092" w:rsidRPr="00745A6F">
        <w:t xml:space="preserve"> získ</w:t>
      </w:r>
      <w:r w:rsidR="007A2092">
        <w:t>á</w:t>
      </w:r>
      <w:r w:rsidR="007A2092" w:rsidRPr="00745A6F">
        <w:t>n</w:t>
      </w:r>
      <w:r w:rsidR="007A2092">
        <w:t>y</w:t>
      </w:r>
      <w:r w:rsidR="007A2092" w:rsidRPr="00745A6F">
        <w:t xml:space="preserve"> z projektu </w:t>
      </w:r>
      <w:r w:rsidR="007A2092" w:rsidRPr="00240CCF">
        <w:rPr>
          <w:rFonts w:cstheme="minorHAnsi"/>
        </w:rPr>
        <w:t>Ekonomické fakulty TU Liberec „Big data“. Data byla přebírána z České správy sociálního zabezpečení, Úřadu práce, Českého statistického úřadu a dalších. Mohou být v dohodnutých intervalech novelizována</w:t>
      </w:r>
      <w:r w:rsidR="009B3DD7">
        <w:rPr>
          <w:rFonts w:cstheme="minorHAnsi"/>
        </w:rPr>
        <w:t xml:space="preserve"> </w:t>
      </w:r>
      <w:r w:rsidR="009B3DD7" w:rsidRPr="00240CCF">
        <w:rPr>
          <w:rFonts w:cstheme="minorHAnsi"/>
        </w:rPr>
        <w:t xml:space="preserve">(např. </w:t>
      </w:r>
      <w:r w:rsidR="009B3DD7">
        <w:rPr>
          <w:rFonts w:cstheme="minorHAnsi"/>
        </w:rPr>
        <w:t xml:space="preserve">každoročně </w:t>
      </w:r>
      <w:r w:rsidR="009B3DD7" w:rsidRPr="00900A91">
        <w:rPr>
          <w:rFonts w:cstheme="minorHAnsi"/>
          <w:b/>
        </w:rPr>
        <w:t>nebo podle stanovených milníků</w:t>
      </w:r>
      <w:r w:rsidR="009B3DD7" w:rsidRPr="00240CCF">
        <w:rPr>
          <w:rFonts w:cstheme="minorHAnsi"/>
        </w:rPr>
        <w:t>)</w:t>
      </w:r>
      <w:r w:rsidR="007A2092" w:rsidRPr="00240CCF">
        <w:rPr>
          <w:rFonts w:cstheme="minorHAnsi"/>
        </w:rPr>
        <w:t xml:space="preserve">. </w:t>
      </w:r>
      <w:r w:rsidR="009941EE">
        <w:rPr>
          <w:rFonts w:cstheme="minorHAnsi"/>
        </w:rPr>
        <w:t>Gestorem</w:t>
      </w:r>
      <w:r w:rsidR="007A2092" w:rsidRPr="00240CCF">
        <w:rPr>
          <w:rFonts w:cstheme="minorHAnsi"/>
        </w:rPr>
        <w:t xml:space="preserve"> tohoto projektu </w:t>
      </w:r>
      <w:r w:rsidR="009941EE">
        <w:rPr>
          <w:rFonts w:cstheme="minorHAnsi"/>
        </w:rPr>
        <w:t xml:space="preserve">v rámci MMR </w:t>
      </w:r>
      <w:r w:rsidR="007A2092" w:rsidRPr="00240CCF">
        <w:rPr>
          <w:rFonts w:cstheme="minorHAnsi"/>
        </w:rPr>
        <w:t>j</w:t>
      </w:r>
      <w:r w:rsidR="009941EE">
        <w:rPr>
          <w:rFonts w:cstheme="minorHAnsi"/>
        </w:rPr>
        <w:t>e odbor regionálního rozvoje</w:t>
      </w:r>
      <w:r w:rsidR="007A2092" w:rsidRPr="00240CCF">
        <w:rPr>
          <w:rFonts w:cstheme="minorHAnsi"/>
        </w:rPr>
        <w:t>, který počítá s využitím časových řad těchto dat pro monitoring Strategie regionálního rozvoje 2021-2027</w:t>
      </w:r>
      <w:r w:rsidR="00900A91">
        <w:rPr>
          <w:rFonts w:cstheme="minorHAnsi"/>
        </w:rPr>
        <w:t>.</w:t>
      </w:r>
      <w:r w:rsidR="007A2092" w:rsidRPr="00240CCF">
        <w:rPr>
          <w:rFonts w:cstheme="minorHAnsi"/>
        </w:rPr>
        <w:t xml:space="preserve"> </w:t>
      </w:r>
    </w:p>
    <w:p w:rsidR="00900A91" w:rsidRDefault="00900A91" w:rsidP="009B3DD7">
      <w:pPr>
        <w:spacing w:after="0" w:line="240" w:lineRule="auto"/>
        <w:ind w:firstLine="340"/>
        <w:jc w:val="both"/>
        <w:rPr>
          <w:rFonts w:cstheme="minorHAnsi"/>
        </w:rPr>
      </w:pPr>
    </w:p>
    <w:p w:rsidR="00AB2C37" w:rsidRDefault="009B3DD7" w:rsidP="00AB2C37">
      <w:pPr>
        <w:spacing w:after="120" w:line="240" w:lineRule="auto"/>
        <w:ind w:firstLine="34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3.2. </w:t>
      </w:r>
      <w:r w:rsidR="00AB2C37">
        <w:rPr>
          <w:rFonts w:cstheme="minorHAnsi"/>
        </w:rPr>
        <w:t xml:space="preserve">Tento </w:t>
      </w:r>
      <w:r w:rsidR="00AB2C37" w:rsidRPr="00166469">
        <w:rPr>
          <w:rFonts w:cstheme="minorHAnsi"/>
          <w:b/>
        </w:rPr>
        <w:t>projekt</w:t>
      </w:r>
      <w:r w:rsidR="00503670">
        <w:rPr>
          <w:rFonts w:cstheme="minorHAnsi"/>
          <w:b/>
        </w:rPr>
        <w:t xml:space="preserve"> </w:t>
      </w:r>
      <w:r w:rsidR="00503670" w:rsidRPr="00503670">
        <w:rPr>
          <w:rFonts w:cstheme="minorHAnsi"/>
        </w:rPr>
        <w:t>zatím</w:t>
      </w:r>
      <w:r w:rsidR="00AB2C37" w:rsidRPr="00166469">
        <w:rPr>
          <w:rFonts w:cstheme="minorHAnsi"/>
          <w:b/>
        </w:rPr>
        <w:t xml:space="preserve"> pracuje s daty za rok 2018</w:t>
      </w:r>
      <w:r w:rsidR="00AB2C37">
        <w:rPr>
          <w:rFonts w:cstheme="minorHAnsi"/>
        </w:rPr>
        <w:t xml:space="preserve">. Podle </w:t>
      </w:r>
      <w:r w:rsidR="00AB2C37" w:rsidRPr="00AB2C37">
        <w:rPr>
          <w:rFonts w:cstheme="minorHAnsi"/>
        </w:rPr>
        <w:t>nominální</w:t>
      </w:r>
      <w:r w:rsidR="00AB2C37">
        <w:rPr>
          <w:rFonts w:cstheme="minorHAnsi"/>
        </w:rPr>
        <w:t>ho</w:t>
      </w:r>
      <w:r w:rsidR="00AB2C37" w:rsidRPr="00AB2C37">
        <w:rPr>
          <w:rFonts w:cstheme="minorHAnsi"/>
        </w:rPr>
        <w:t xml:space="preserve"> čist</w:t>
      </w:r>
      <w:r w:rsidR="00AB2C37">
        <w:rPr>
          <w:rFonts w:cstheme="minorHAnsi"/>
        </w:rPr>
        <w:t>ého</w:t>
      </w:r>
      <w:r w:rsidR="00AB2C37" w:rsidRPr="00AB2C37">
        <w:rPr>
          <w:rFonts w:cstheme="minorHAnsi"/>
        </w:rPr>
        <w:t xml:space="preserve"> příj</w:t>
      </w:r>
      <w:r w:rsidR="00AB2C37">
        <w:rPr>
          <w:rFonts w:cstheme="minorHAnsi"/>
        </w:rPr>
        <w:t>mu</w:t>
      </w:r>
      <w:r w:rsidR="00AB2C37" w:rsidRPr="00AB2C37">
        <w:rPr>
          <w:rFonts w:cstheme="minorHAnsi"/>
        </w:rPr>
        <w:t xml:space="preserve"> na obyvatele</w:t>
      </w:r>
      <w:r w:rsidR="0035757D">
        <w:rPr>
          <w:rFonts w:cstheme="minorHAnsi"/>
        </w:rPr>
        <w:t>,</w:t>
      </w:r>
      <w:r w:rsidR="00AB2C37">
        <w:rPr>
          <w:rFonts w:cstheme="minorHAnsi"/>
        </w:rPr>
        <w:t xml:space="preserve"> získaného na úrovni obcí</w:t>
      </w:r>
      <w:r w:rsidR="0035757D">
        <w:rPr>
          <w:rFonts w:cstheme="minorHAnsi"/>
        </w:rPr>
        <w:t>,</w:t>
      </w:r>
      <w:r w:rsidR="00AB2C37">
        <w:rPr>
          <w:rFonts w:cstheme="minorHAnsi"/>
        </w:rPr>
        <w:t xml:space="preserve"> rozděluje </w:t>
      </w:r>
      <w:r w:rsidR="0035757D">
        <w:rPr>
          <w:rFonts w:cstheme="minorHAnsi"/>
        </w:rPr>
        <w:t>ú</w:t>
      </w:r>
      <w:r w:rsidR="00AB2C37">
        <w:rPr>
          <w:rFonts w:cstheme="minorHAnsi"/>
        </w:rPr>
        <w:t>zemí republiky do 4 kvartilů</w:t>
      </w:r>
      <w:r w:rsidR="00EE666A">
        <w:rPr>
          <w:rFonts w:cstheme="minorHAnsi"/>
        </w:rPr>
        <w:t>. N</w:t>
      </w:r>
      <w:r w:rsidR="0005706F">
        <w:t>ásledující kartogram znázorňuje přepočet podle území v působnosti obcí s rozšířenou působností</w:t>
      </w:r>
      <w:r w:rsidR="00EE666A">
        <w:t xml:space="preserve"> (ORP</w:t>
      </w:r>
      <w:r w:rsidR="0005706F">
        <w:t>)</w:t>
      </w:r>
      <w:r w:rsidR="00AB2C37">
        <w:rPr>
          <w:rFonts w:cstheme="minorHAnsi"/>
        </w:rPr>
        <w:t>:</w:t>
      </w: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993"/>
        <w:gridCol w:w="708"/>
      </w:tblGrid>
      <w:tr w:rsidR="00353A81" w:rsidTr="00353A81">
        <w:trPr>
          <w:trHeight w:val="575"/>
        </w:trPr>
        <w:tc>
          <w:tcPr>
            <w:tcW w:w="6629" w:type="dxa"/>
            <w:vMerge w:val="restart"/>
          </w:tcPr>
          <w:p w:rsidR="00353A81" w:rsidRDefault="00353A81" w:rsidP="00353A81">
            <w:pPr>
              <w:ind w:left="-567"/>
            </w:pPr>
            <w:r w:rsidRPr="00E84FFB">
              <w:rPr>
                <w:noProof/>
                <w:lang w:eastAsia="cs-CZ"/>
              </w:rPr>
              <w:drawing>
                <wp:inline distT="0" distB="0" distL="0" distR="0" wp14:anchorId="46DA3E50" wp14:editId="3D955E1A">
                  <wp:extent cx="4505325" cy="3031010"/>
                  <wp:effectExtent l="0" t="0" r="0" b="0"/>
                  <wp:docPr id="5" name="Obrázek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C4983D4-BC31-4D1F-B7E5-DCFE80D3B7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C4983D4-BC31-4D1F-B7E5-DCFE80D3B7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0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both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příjmové hranice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kvartil</w:t>
            </w:r>
          </w:p>
        </w:tc>
      </w:tr>
      <w:tr w:rsidR="00353A81" w:rsidTr="00353A81">
        <w:trPr>
          <w:trHeight w:val="698"/>
        </w:trPr>
        <w:tc>
          <w:tcPr>
            <w:tcW w:w="6629" w:type="dxa"/>
            <w:vMerge/>
          </w:tcPr>
          <w:p w:rsidR="00353A81" w:rsidRPr="001B2401" w:rsidRDefault="00353A81" w:rsidP="002165FE">
            <w:pPr>
              <w:ind w:left="-567"/>
              <w:jc w:val="both"/>
              <w:rPr>
                <w:noProof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tmavo-modrá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 xml:space="preserve">do 187 000 Kč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353A8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353A81" w:rsidTr="00353A81">
        <w:trPr>
          <w:trHeight w:val="694"/>
        </w:trPr>
        <w:tc>
          <w:tcPr>
            <w:tcW w:w="6629" w:type="dxa"/>
            <w:vMerge/>
          </w:tcPr>
          <w:p w:rsidR="00353A81" w:rsidRPr="001B2401" w:rsidRDefault="00353A81" w:rsidP="002165FE">
            <w:pPr>
              <w:ind w:left="-567"/>
              <w:jc w:val="both"/>
              <w:rPr>
                <w:noProof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světle-modrá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do 202 000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353A8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53A81" w:rsidTr="00353A81">
        <w:trPr>
          <w:trHeight w:val="703"/>
        </w:trPr>
        <w:tc>
          <w:tcPr>
            <w:tcW w:w="6629" w:type="dxa"/>
            <w:vMerge/>
          </w:tcPr>
          <w:p w:rsidR="00353A81" w:rsidRPr="001B2401" w:rsidRDefault="00353A81" w:rsidP="002165FE">
            <w:pPr>
              <w:ind w:left="-567"/>
              <w:jc w:val="both"/>
              <w:rPr>
                <w:noProof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9A55E7" w:rsidP="009A55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světle-</w:t>
            </w:r>
            <w:r w:rsidR="00353A81">
              <w:rPr>
                <w:rFonts w:cstheme="minorHAnsi"/>
                <w:sz w:val="18"/>
                <w:szCs w:val="18"/>
              </w:rPr>
              <w:t>fialová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do 220 000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353A8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53A81" w:rsidTr="00353A81">
        <w:trPr>
          <w:trHeight w:val="699"/>
        </w:trPr>
        <w:tc>
          <w:tcPr>
            <w:tcW w:w="6629" w:type="dxa"/>
            <w:vMerge/>
          </w:tcPr>
          <w:p w:rsidR="00353A81" w:rsidRPr="001B2401" w:rsidRDefault="00353A81" w:rsidP="002165FE">
            <w:pPr>
              <w:ind w:left="-567"/>
              <w:jc w:val="both"/>
              <w:rPr>
                <w:noProof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166469" w:rsidP="00EE666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tmavě</w:t>
            </w:r>
            <w:r w:rsidR="00353A81">
              <w:rPr>
                <w:rFonts w:cstheme="minorHAnsi"/>
                <w:sz w:val="18"/>
                <w:szCs w:val="18"/>
              </w:rPr>
              <w:t>-fialová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Pr="0005706F" w:rsidRDefault="00353A81" w:rsidP="00EE666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5706F">
              <w:rPr>
                <w:rFonts w:cstheme="minorHAnsi"/>
                <w:sz w:val="18"/>
                <w:szCs w:val="18"/>
              </w:rPr>
              <w:t>nad 220 000 Kč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81" w:rsidRDefault="00353A81" w:rsidP="00353A81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  <w:p w:rsidR="00353A81" w:rsidRPr="0005706F" w:rsidRDefault="00353A81" w:rsidP="00353A8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53A81" w:rsidTr="00353A81">
        <w:trPr>
          <w:trHeight w:val="1050"/>
        </w:trPr>
        <w:tc>
          <w:tcPr>
            <w:tcW w:w="6629" w:type="dxa"/>
            <w:vMerge/>
          </w:tcPr>
          <w:p w:rsidR="00353A81" w:rsidRPr="001B2401" w:rsidRDefault="00353A81" w:rsidP="002165FE">
            <w:pPr>
              <w:ind w:left="-567"/>
              <w:jc w:val="both"/>
              <w:rPr>
                <w:noProof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3A81" w:rsidRPr="0005706F" w:rsidRDefault="00353A81" w:rsidP="00EE66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3A81" w:rsidRPr="0005706F" w:rsidRDefault="00353A81" w:rsidP="00EE666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3A81" w:rsidRPr="0005706F" w:rsidRDefault="00353A81" w:rsidP="00EE666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05706F" w:rsidRDefault="0035757D" w:rsidP="001C778B">
      <w:pPr>
        <w:spacing w:after="0" w:line="240" w:lineRule="auto"/>
        <w:ind w:firstLine="340"/>
        <w:jc w:val="both"/>
      </w:pPr>
      <w:r>
        <w:t xml:space="preserve">3.3. </w:t>
      </w:r>
      <w:r w:rsidR="000D43AF">
        <w:t>T</w:t>
      </w:r>
      <w:r w:rsidR="001C778B">
        <w:t xml:space="preserve">abulka </w:t>
      </w:r>
      <w:r w:rsidR="000D43AF">
        <w:t xml:space="preserve">v příloze </w:t>
      </w:r>
      <w:r w:rsidR="00E01DA0">
        <w:t>obsahu</w:t>
      </w:r>
      <w:r w:rsidR="005564EE">
        <w:t xml:space="preserve">je </w:t>
      </w:r>
      <w:r w:rsidR="005564EE" w:rsidRPr="00EE666A">
        <w:rPr>
          <w:b/>
        </w:rPr>
        <w:t xml:space="preserve">přepočet </w:t>
      </w:r>
      <w:r w:rsidR="001C778B" w:rsidRPr="00EE666A">
        <w:rPr>
          <w:b/>
        </w:rPr>
        <w:t xml:space="preserve">příjmů </w:t>
      </w:r>
      <w:r w:rsidR="005564EE" w:rsidRPr="00EE666A">
        <w:rPr>
          <w:b/>
        </w:rPr>
        <w:t xml:space="preserve">podle území </w:t>
      </w:r>
      <w:r w:rsidR="001C778B" w:rsidRPr="00EE666A">
        <w:rPr>
          <w:b/>
        </w:rPr>
        <w:t>MAS</w:t>
      </w:r>
      <w:r w:rsidR="00C700C1">
        <w:rPr>
          <w:b/>
        </w:rPr>
        <w:t xml:space="preserve"> </w:t>
      </w:r>
      <w:r w:rsidR="00C700C1" w:rsidRPr="00C700C1">
        <w:t xml:space="preserve">tak, </w:t>
      </w:r>
      <w:r w:rsidR="00C700C1" w:rsidRPr="00C700C1">
        <w:rPr>
          <w:b/>
        </w:rPr>
        <w:t>aby</w:t>
      </w:r>
      <w:r w:rsidR="00C700C1">
        <w:t xml:space="preserve"> </w:t>
      </w:r>
      <w:r w:rsidR="00C700C1" w:rsidRPr="008B2B99">
        <w:rPr>
          <w:rFonts w:cstheme="minorHAnsi"/>
          <w:b/>
        </w:rPr>
        <w:t>pro CLLD</w:t>
      </w:r>
      <w:r w:rsidR="00C700C1">
        <w:rPr>
          <w:rFonts w:cstheme="minorHAnsi"/>
          <w:b/>
        </w:rPr>
        <w:t xml:space="preserve"> připadlo </w:t>
      </w:r>
      <w:r w:rsidR="006864AA" w:rsidRPr="006864AA">
        <w:rPr>
          <w:rFonts w:cstheme="minorHAnsi"/>
        </w:rPr>
        <w:t>přibližně</w:t>
      </w:r>
      <w:r w:rsidR="00C700C1">
        <w:rPr>
          <w:rFonts w:cstheme="minorHAnsi"/>
          <w:b/>
        </w:rPr>
        <w:t xml:space="preserve"> 23 mld. Kč</w:t>
      </w:r>
      <w:r w:rsidR="00B96974">
        <w:t xml:space="preserve">. Alokace pro </w:t>
      </w:r>
      <w:r w:rsidR="001C778B">
        <w:t xml:space="preserve">MAS </w:t>
      </w:r>
      <w:r w:rsidR="00004286">
        <w:t xml:space="preserve">za </w:t>
      </w:r>
      <w:r w:rsidR="001C778B">
        <w:t>období 2021-2027 je uvedena v předposledním sloupci, v posledním sloupci je uvedena alokace na obyvatele. Výpočet byl proveden tak, aby v daném kvartilu byla stejná alokace na obyvatele, která skokově se snižujícími příjmy na obyvatele stoup</w:t>
      </w:r>
      <w:r w:rsidR="00AC2A45">
        <w:t>á</w:t>
      </w:r>
      <w:r w:rsidR="00004286">
        <w:t xml:space="preserve"> (za celý kvartil o 15%)</w:t>
      </w:r>
      <w:r w:rsidR="001C778B">
        <w:t>.</w:t>
      </w:r>
      <w:r w:rsidR="002A73A9">
        <w:t xml:space="preserve"> </w:t>
      </w:r>
      <w:r w:rsidR="008D6849">
        <w:rPr>
          <w:b/>
        </w:rPr>
        <w:t>M</w:t>
      </w:r>
      <w:r w:rsidR="002A73A9" w:rsidRPr="00EE666A">
        <w:rPr>
          <w:b/>
        </w:rPr>
        <w:t>ožný</w:t>
      </w:r>
      <w:r w:rsidR="008D6849">
        <w:rPr>
          <w:b/>
        </w:rPr>
        <w:t xml:space="preserve"> je</w:t>
      </w:r>
      <w:r w:rsidR="002A73A9" w:rsidRPr="00EE666A">
        <w:rPr>
          <w:b/>
        </w:rPr>
        <w:t xml:space="preserve"> i</w:t>
      </w:r>
      <w:r w:rsidR="00EE666A" w:rsidRPr="00EE666A">
        <w:rPr>
          <w:b/>
        </w:rPr>
        <w:t> </w:t>
      </w:r>
      <w:r w:rsidR="002A73A9" w:rsidRPr="00EE666A">
        <w:rPr>
          <w:b/>
        </w:rPr>
        <w:t>jiný výpočet (např. pro každou MAS jednotlivě)</w:t>
      </w:r>
      <w:r w:rsidR="002A73A9">
        <w:t>.</w:t>
      </w:r>
    </w:p>
    <w:p w:rsidR="00352C0A" w:rsidRDefault="00352C0A" w:rsidP="001C778B">
      <w:pPr>
        <w:spacing w:after="0" w:line="240" w:lineRule="auto"/>
        <w:ind w:firstLine="340"/>
        <w:jc w:val="both"/>
        <w:rPr>
          <w:rFonts w:cstheme="minorHAnsi"/>
        </w:rPr>
      </w:pPr>
    </w:p>
    <w:p w:rsidR="000D43AF" w:rsidRPr="000D43AF" w:rsidRDefault="000D43AF" w:rsidP="000D43AF">
      <w:pPr>
        <w:pStyle w:val="Odstavecseseznamem"/>
        <w:numPr>
          <w:ilvl w:val="0"/>
          <w:numId w:val="5"/>
        </w:numPr>
        <w:spacing w:after="0" w:line="240" w:lineRule="auto"/>
        <w:ind w:left="0" w:firstLine="357"/>
        <w:jc w:val="both"/>
        <w:rPr>
          <w:b/>
        </w:rPr>
      </w:pPr>
      <w:r w:rsidRPr="00281216">
        <w:t xml:space="preserve">V průběhu přípravy tohoto modelu financování CLLD v programovém období 2021-2027 </w:t>
      </w:r>
      <w:r w:rsidR="00D16347">
        <w:t>se</w:t>
      </w:r>
      <w:r w:rsidRPr="00281216">
        <w:t xml:space="preserve"> </w:t>
      </w:r>
      <w:r w:rsidR="00D16347">
        <w:t>SPOV věnoval</w:t>
      </w:r>
      <w:r w:rsidRPr="00281216">
        <w:t xml:space="preserve"> také</w:t>
      </w:r>
      <w:r w:rsidRPr="00281216">
        <w:rPr>
          <w:b/>
        </w:rPr>
        <w:t xml:space="preserve"> výši spolufinancování</w:t>
      </w:r>
      <w:r w:rsidRPr="00281216">
        <w:t xml:space="preserve">, </w:t>
      </w:r>
      <w:r>
        <w:t>zejména ve vazbě na návrh</w:t>
      </w:r>
      <w:r w:rsidRPr="00281216">
        <w:t xml:space="preserve"> Ministerstv</w:t>
      </w:r>
      <w:r w:rsidR="000C024F">
        <w:t>a</w:t>
      </w:r>
      <w:r w:rsidRPr="00281216">
        <w:t xml:space="preserve"> financí ČR (MF</w:t>
      </w:r>
      <w:r w:rsidRPr="000D43AF">
        <w:t xml:space="preserve">), </w:t>
      </w:r>
      <w:r w:rsidRPr="000D43AF">
        <w:rPr>
          <w:b/>
        </w:rPr>
        <w:t>a </w:t>
      </w:r>
      <w:r w:rsidRPr="00281216">
        <w:rPr>
          <w:b/>
        </w:rPr>
        <w:t>zkušenost</w:t>
      </w:r>
      <w:r w:rsidR="00D527A9">
        <w:rPr>
          <w:b/>
        </w:rPr>
        <w:t>em</w:t>
      </w:r>
      <w:r w:rsidRPr="00281216">
        <w:rPr>
          <w:b/>
        </w:rPr>
        <w:t xml:space="preserve"> z </w:t>
      </w:r>
      <w:r w:rsidRPr="006C3666">
        <w:rPr>
          <w:b/>
        </w:rPr>
        <w:t>administrace projektů</w:t>
      </w:r>
      <w:r w:rsidRPr="00281216">
        <w:t xml:space="preserve"> v období 2014-2020.</w:t>
      </w:r>
    </w:p>
    <w:p w:rsidR="000D43AF" w:rsidRPr="00281216" w:rsidRDefault="000D43AF" w:rsidP="000D43AF">
      <w:pPr>
        <w:pStyle w:val="Odstavecseseznamem"/>
        <w:spacing w:after="0" w:line="240" w:lineRule="auto"/>
        <w:ind w:left="357"/>
        <w:jc w:val="both"/>
        <w:rPr>
          <w:b/>
        </w:rPr>
      </w:pPr>
      <w:r w:rsidRPr="00281216">
        <w:rPr>
          <w:b/>
        </w:rPr>
        <w:t xml:space="preserve"> </w:t>
      </w:r>
    </w:p>
    <w:p w:rsidR="003A3CE6" w:rsidRPr="003A3CE6" w:rsidRDefault="003A3CE6" w:rsidP="003A3CE6">
      <w:pPr>
        <w:pStyle w:val="Odstavecseseznamem"/>
        <w:numPr>
          <w:ilvl w:val="1"/>
          <w:numId w:val="5"/>
        </w:numPr>
        <w:spacing w:after="0" w:line="240" w:lineRule="auto"/>
        <w:ind w:left="0" w:firstLine="357"/>
        <w:jc w:val="both"/>
        <w:rPr>
          <w:rFonts w:cstheme="minorHAnsi"/>
        </w:rPr>
      </w:pPr>
      <w:r>
        <w:t xml:space="preserve"> </w:t>
      </w:r>
      <w:r w:rsidR="00D44F33">
        <w:t xml:space="preserve">MF zahájilo </w:t>
      </w:r>
      <w:r w:rsidR="00567B06">
        <w:t>1</w:t>
      </w:r>
      <w:r w:rsidR="00D44F33">
        <w:t>8. 1. 2021 (vložením do e</w:t>
      </w:r>
      <w:r w:rsidR="007D1030">
        <w:t>-</w:t>
      </w:r>
      <w:r w:rsidR="00D44F33">
        <w:t>KLEP</w:t>
      </w:r>
      <w:r w:rsidR="007D1030">
        <w:t>u</w:t>
      </w:r>
      <w:r w:rsidR="00D44F33">
        <w:t xml:space="preserve">) meziresortní připomínkové řízení k materiálu pro schůzi vlády </w:t>
      </w:r>
      <w:r w:rsidR="00DB00F0">
        <w:t>„</w:t>
      </w:r>
      <w:r w:rsidR="00D44F33" w:rsidRPr="00F34170">
        <w:rPr>
          <w:rFonts w:cstheme="minorHAnsi"/>
          <w:b/>
          <w:iCs/>
        </w:rPr>
        <w:t>Pravidla spolufinancování Evropského fondu pro regionální rozvoj, Evropského sociálního fondu plus, Fondu soudržnosti, Fondu pro spravedlivou transformaci a Evropského námořního, rybářského a akvakulturního fondu na programové období 2021-2027</w:t>
      </w:r>
      <w:r w:rsidR="00D44F33" w:rsidRPr="003A3CE6">
        <w:rPr>
          <w:rFonts w:cstheme="minorHAnsi"/>
          <w:iCs/>
        </w:rPr>
        <w:t>“.</w:t>
      </w:r>
      <w:r w:rsidR="00567B06" w:rsidRPr="003A3CE6">
        <w:rPr>
          <w:rFonts w:cstheme="minorHAnsi"/>
          <w:iCs/>
        </w:rPr>
        <w:t xml:space="preserve"> V něm reaguje na </w:t>
      </w:r>
      <w:r w:rsidRPr="003A3CE6">
        <w:rPr>
          <w:rFonts w:cstheme="minorHAnsi"/>
        </w:rPr>
        <w:t>závěr</w:t>
      </w:r>
      <w:r>
        <w:rPr>
          <w:rFonts w:cstheme="minorHAnsi"/>
        </w:rPr>
        <w:t>y</w:t>
      </w:r>
      <w:r w:rsidRPr="003A3CE6">
        <w:rPr>
          <w:rFonts w:cstheme="minorHAnsi"/>
        </w:rPr>
        <w:t xml:space="preserve"> Evropské rady, která se konala ve dnech 17. - 21. července 2020, </w:t>
      </w:r>
      <w:r>
        <w:rPr>
          <w:rFonts w:cstheme="minorHAnsi"/>
        </w:rPr>
        <w:t xml:space="preserve">podle nichž </w:t>
      </w:r>
      <w:r w:rsidRPr="003A3CE6">
        <w:rPr>
          <w:rFonts w:cstheme="minorHAnsi"/>
        </w:rPr>
        <w:t>vyplývají pro ČR tyto maximální míry spolufinancování z EU fondů:</w:t>
      </w:r>
    </w:p>
    <w:p w:rsidR="003A3CE6" w:rsidRPr="003A3CE6" w:rsidRDefault="003A3CE6" w:rsidP="004F01BC">
      <w:pPr>
        <w:pStyle w:val="Odstavecseseznamem"/>
        <w:numPr>
          <w:ilvl w:val="0"/>
          <w:numId w:val="13"/>
        </w:numPr>
        <w:spacing w:before="80" w:after="0" w:line="240" w:lineRule="auto"/>
        <w:ind w:left="357" w:hanging="357"/>
        <w:contextualSpacing w:val="0"/>
        <w:rPr>
          <w:rFonts w:cstheme="minorHAnsi"/>
        </w:rPr>
      </w:pPr>
      <w:r w:rsidRPr="003A3CE6">
        <w:rPr>
          <w:rFonts w:cstheme="minorHAnsi"/>
        </w:rPr>
        <w:t>85 % pro méně rozvinuté regiony, jejichž HDP na obyvatele v období 2015-2017 byl nižší než 75 % průměru EU – 27</w:t>
      </w:r>
      <w:r w:rsidR="000C024F">
        <w:rPr>
          <w:rFonts w:cstheme="minorHAnsi"/>
        </w:rPr>
        <w:t xml:space="preserve"> </w:t>
      </w:r>
    </w:p>
    <w:p w:rsidR="003A3CE6" w:rsidRPr="003A3CE6" w:rsidRDefault="003A3CE6" w:rsidP="004F01BC">
      <w:pPr>
        <w:pStyle w:val="Odstavecseseznamem"/>
        <w:numPr>
          <w:ilvl w:val="0"/>
          <w:numId w:val="13"/>
        </w:numPr>
        <w:spacing w:before="80" w:after="0" w:line="240" w:lineRule="auto"/>
        <w:ind w:left="357" w:hanging="357"/>
        <w:contextualSpacing w:val="0"/>
        <w:rPr>
          <w:rFonts w:cstheme="minorHAnsi"/>
        </w:rPr>
      </w:pPr>
      <w:r w:rsidRPr="003A3CE6">
        <w:rPr>
          <w:rFonts w:cstheme="minorHAnsi"/>
        </w:rPr>
        <w:t>70 % pro přechodové regiony, jejichž HDP na obyvatele v období 2015-2017 byl mezi 75 % - 100% průměru EU – 27, které v období 2014-2020 spadaly mezi méně rozvinuté regiony</w:t>
      </w:r>
    </w:p>
    <w:p w:rsidR="003A3CE6" w:rsidRPr="003A3CE6" w:rsidRDefault="003A3CE6" w:rsidP="004F01BC">
      <w:pPr>
        <w:pStyle w:val="Odstavecseseznamem"/>
        <w:numPr>
          <w:ilvl w:val="0"/>
          <w:numId w:val="13"/>
        </w:numPr>
        <w:spacing w:before="80" w:after="0" w:line="240" w:lineRule="auto"/>
        <w:ind w:left="357" w:hanging="357"/>
        <w:contextualSpacing w:val="0"/>
        <w:rPr>
          <w:rFonts w:cstheme="minorHAnsi"/>
        </w:rPr>
      </w:pPr>
      <w:r w:rsidRPr="003A3CE6">
        <w:rPr>
          <w:rFonts w:cstheme="minorHAnsi"/>
        </w:rPr>
        <w:t>40% pro rozvinutější regiony, jejichž HDP na obyvatele v období 2015-2017 byl vyšší než 100 % průměru EU – 27</w:t>
      </w:r>
    </w:p>
    <w:p w:rsidR="003A3CE6" w:rsidRPr="003A3CE6" w:rsidRDefault="003A3CE6" w:rsidP="004F01BC">
      <w:pPr>
        <w:pStyle w:val="Odstavecseseznamem"/>
        <w:numPr>
          <w:ilvl w:val="0"/>
          <w:numId w:val="13"/>
        </w:numPr>
        <w:spacing w:before="80" w:after="0" w:line="240" w:lineRule="auto"/>
        <w:ind w:left="357" w:hanging="357"/>
        <w:contextualSpacing w:val="0"/>
        <w:rPr>
          <w:rFonts w:cstheme="minorHAnsi"/>
        </w:rPr>
      </w:pPr>
      <w:r w:rsidRPr="003A3CE6">
        <w:rPr>
          <w:rFonts w:cstheme="minorHAnsi"/>
        </w:rPr>
        <w:t>85% v případě Fondu soudržnosti</w:t>
      </w:r>
      <w:r w:rsidRPr="003A3CE6">
        <w:rPr>
          <w:rStyle w:val="Znakapoznpodarou"/>
          <w:rFonts w:cstheme="minorHAnsi"/>
          <w:sz w:val="22"/>
        </w:rPr>
        <w:footnoteReference w:id="1"/>
      </w:r>
      <w:r w:rsidRPr="003A3CE6">
        <w:rPr>
          <w:rFonts w:cstheme="minorHAnsi"/>
        </w:rPr>
        <w:t>;</w:t>
      </w:r>
    </w:p>
    <w:p w:rsidR="003A3CE6" w:rsidRDefault="003A3CE6" w:rsidP="004F01BC">
      <w:pPr>
        <w:pStyle w:val="Odstavecseseznamem"/>
        <w:numPr>
          <w:ilvl w:val="0"/>
          <w:numId w:val="13"/>
        </w:numPr>
        <w:spacing w:before="80" w:after="0" w:line="240" w:lineRule="auto"/>
        <w:ind w:left="357" w:hanging="357"/>
        <w:contextualSpacing w:val="0"/>
        <w:rPr>
          <w:rFonts w:cstheme="minorHAnsi"/>
        </w:rPr>
      </w:pPr>
      <w:r w:rsidRPr="003A3CE6">
        <w:rPr>
          <w:rFonts w:cstheme="minorHAnsi"/>
        </w:rPr>
        <w:t>80 % pro programy implementované v rámci Evropské územní spolupráce.</w:t>
      </w:r>
    </w:p>
    <w:p w:rsidR="00352C0A" w:rsidRDefault="0069180F" w:rsidP="00352C0A">
      <w:pPr>
        <w:pStyle w:val="Odstavecseseznamem"/>
        <w:spacing w:before="120" w:after="0" w:line="240" w:lineRule="auto"/>
        <w:ind w:left="0" w:firstLine="357"/>
        <w:contextualSpacing w:val="0"/>
        <w:jc w:val="both"/>
        <w:rPr>
          <w:rFonts w:cstheme="minorHAnsi"/>
        </w:rPr>
      </w:pPr>
      <w:r w:rsidRPr="0069180F">
        <w:rPr>
          <w:rFonts w:cstheme="minorHAnsi"/>
        </w:rPr>
        <w:t>P</w:t>
      </w:r>
      <w:r w:rsidR="005873C5" w:rsidRPr="0069180F">
        <w:rPr>
          <w:rFonts w:cstheme="minorHAnsi"/>
        </w:rPr>
        <w:t xml:space="preserve">ro CLLD v rámci IROP přicházejí do úvahy méně </w:t>
      </w:r>
      <w:r w:rsidRPr="0069180F">
        <w:rPr>
          <w:rFonts w:cstheme="minorHAnsi"/>
        </w:rPr>
        <w:t>rozvinuté regiony (regiony NUTS </w:t>
      </w:r>
      <w:r w:rsidR="005873C5" w:rsidRPr="0069180F">
        <w:rPr>
          <w:rFonts w:cstheme="minorHAnsi"/>
        </w:rPr>
        <w:t xml:space="preserve">2 Severozápad, Severovýchod, Moravskoslezsko a Střední Morava) a přechodové regiony (regiony NUTS 2 Jihozápad, </w:t>
      </w:r>
      <w:r w:rsidR="005873C5" w:rsidRPr="0069180F">
        <w:rPr>
          <w:rFonts w:cstheme="minorHAnsi"/>
        </w:rPr>
        <w:lastRenderedPageBreak/>
        <w:t>Jihovýchod a Střední Čechy).</w:t>
      </w:r>
      <w:r w:rsidR="005873C5">
        <w:rPr>
          <w:rFonts w:cstheme="minorHAnsi"/>
        </w:rPr>
        <w:t xml:space="preserve"> </w:t>
      </w:r>
      <w:r w:rsidR="005873C5" w:rsidRPr="0069180F">
        <w:rPr>
          <w:rFonts w:cstheme="minorHAnsi"/>
          <w:b/>
        </w:rPr>
        <w:t>MF</w:t>
      </w:r>
      <w:r w:rsidR="00856C1F" w:rsidRPr="0069180F">
        <w:rPr>
          <w:rFonts w:cstheme="minorHAnsi"/>
          <w:b/>
        </w:rPr>
        <w:t xml:space="preserve"> navrhuje</w:t>
      </w:r>
      <w:r w:rsidR="005873C5" w:rsidRPr="0069180F">
        <w:rPr>
          <w:rFonts w:cstheme="minorHAnsi"/>
          <w:b/>
        </w:rPr>
        <w:t>, aby</w:t>
      </w:r>
      <w:r w:rsidR="00132252" w:rsidRPr="0069180F">
        <w:rPr>
          <w:rFonts w:cstheme="minorHAnsi"/>
          <w:b/>
        </w:rPr>
        <w:t xml:space="preserve"> </w:t>
      </w:r>
      <w:r w:rsidRPr="0069180F">
        <w:rPr>
          <w:rFonts w:cstheme="minorHAnsi"/>
          <w:b/>
        </w:rPr>
        <w:t>národní podíl financování</w:t>
      </w:r>
      <w:r w:rsidR="00132252" w:rsidRPr="0069180F">
        <w:rPr>
          <w:rFonts w:cstheme="minorHAnsi"/>
          <w:b/>
        </w:rPr>
        <w:t xml:space="preserve"> projektů obcí, krajů a jejich příspěvkových organizací</w:t>
      </w:r>
      <w:r w:rsidR="005873C5" w:rsidRPr="0069180F">
        <w:rPr>
          <w:rFonts w:cstheme="minorHAnsi"/>
          <w:b/>
        </w:rPr>
        <w:t xml:space="preserve"> </w:t>
      </w:r>
      <w:r w:rsidRPr="0069180F">
        <w:rPr>
          <w:rFonts w:cstheme="minorHAnsi"/>
          <w:b/>
        </w:rPr>
        <w:t xml:space="preserve">byl </w:t>
      </w:r>
      <w:r w:rsidR="00132252" w:rsidRPr="0069180F">
        <w:rPr>
          <w:rFonts w:cstheme="minorHAnsi"/>
          <w:b/>
        </w:rPr>
        <w:t>v</w:t>
      </w:r>
      <w:r w:rsidRPr="0069180F">
        <w:rPr>
          <w:rFonts w:cstheme="minorHAnsi"/>
          <w:b/>
        </w:rPr>
        <w:t> obou typech těchto regionů stejný.</w:t>
      </w:r>
      <w:r>
        <w:rPr>
          <w:rFonts w:cstheme="minorHAnsi"/>
        </w:rPr>
        <w:t xml:space="preserve"> </w:t>
      </w:r>
      <w:r w:rsidRPr="0069180F">
        <w:rPr>
          <w:rFonts w:cstheme="minorHAnsi"/>
          <w:b/>
        </w:rPr>
        <w:t xml:space="preserve">S požadavky EU se vyrovnává tak, že v </w:t>
      </w:r>
      <w:r w:rsidR="00132252" w:rsidRPr="0069180F">
        <w:rPr>
          <w:rFonts w:cstheme="minorHAnsi"/>
          <w:b/>
        </w:rPr>
        <w:t xml:space="preserve">méně rozvinutých regionech </w:t>
      </w:r>
      <w:r w:rsidRPr="0069180F">
        <w:rPr>
          <w:rFonts w:cstheme="minorHAnsi"/>
          <w:b/>
        </w:rPr>
        <w:t>bude pokryt jen</w:t>
      </w:r>
      <w:r w:rsidR="00132252" w:rsidRPr="0069180F">
        <w:rPr>
          <w:rFonts w:cstheme="minorHAnsi"/>
          <w:b/>
        </w:rPr>
        <w:t xml:space="preserve"> vlastními zdroji příjemce</w:t>
      </w:r>
      <w:r w:rsidR="00132252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132252">
        <w:rPr>
          <w:rFonts w:cstheme="minorHAnsi"/>
        </w:rPr>
        <w:t>min. 15</w:t>
      </w:r>
      <w:r w:rsidR="00DB00F0">
        <w:rPr>
          <w:rFonts w:cstheme="minorHAnsi"/>
        </w:rPr>
        <w:t> </w:t>
      </w:r>
      <w:r w:rsidR="00132252">
        <w:rPr>
          <w:rFonts w:cstheme="minorHAnsi"/>
        </w:rPr>
        <w:t xml:space="preserve">% </w:t>
      </w:r>
      <w:r w:rsidR="00F34170">
        <w:rPr>
          <w:rFonts w:cstheme="minorHAnsi"/>
        </w:rPr>
        <w:t>uznatelných nákladů</w:t>
      </w:r>
      <w:r>
        <w:rPr>
          <w:rFonts w:cstheme="minorHAnsi"/>
        </w:rPr>
        <w:t>)</w:t>
      </w:r>
      <w:r w:rsidR="00F34170">
        <w:rPr>
          <w:rFonts w:cstheme="minorHAnsi"/>
        </w:rPr>
        <w:t xml:space="preserve"> </w:t>
      </w:r>
      <w:r w:rsidR="00132252" w:rsidRPr="0069180F">
        <w:rPr>
          <w:rFonts w:cstheme="minorHAnsi"/>
          <w:b/>
        </w:rPr>
        <w:t>a v přechodových regionech</w:t>
      </w:r>
      <w:r w:rsidR="00132252">
        <w:rPr>
          <w:rFonts w:cstheme="minorHAnsi"/>
        </w:rPr>
        <w:t>, kde je EU požadováno min. 30 %</w:t>
      </w:r>
      <w:r w:rsidR="00F34170">
        <w:rPr>
          <w:rFonts w:cstheme="minorHAnsi"/>
        </w:rPr>
        <w:t xml:space="preserve"> národního spolufinancování</w:t>
      </w:r>
      <w:r w:rsidR="000C024F">
        <w:rPr>
          <w:rFonts w:cstheme="minorHAnsi"/>
        </w:rPr>
        <w:t>,</w:t>
      </w:r>
      <w:r w:rsidR="00F34170">
        <w:rPr>
          <w:rFonts w:cstheme="minorHAnsi"/>
        </w:rPr>
        <w:t xml:space="preserve"> pokryto </w:t>
      </w:r>
      <w:r w:rsidR="00F34170" w:rsidRPr="00DB00F0">
        <w:rPr>
          <w:rFonts w:cstheme="minorHAnsi"/>
          <w:b/>
        </w:rPr>
        <w:t>vlastními zdroji příjemce</w:t>
      </w:r>
      <w:r w:rsidR="00DB00F0">
        <w:rPr>
          <w:rFonts w:cstheme="minorHAnsi"/>
          <w:b/>
        </w:rPr>
        <w:t xml:space="preserve"> ve stejné výši</w:t>
      </w:r>
      <w:r w:rsidR="00F34170" w:rsidRPr="00DB00F0">
        <w:rPr>
          <w:rFonts w:cstheme="minorHAnsi"/>
          <w:b/>
        </w:rPr>
        <w:t xml:space="preserve"> </w:t>
      </w:r>
      <w:r w:rsidR="00DB00F0">
        <w:rPr>
          <w:rFonts w:cstheme="minorHAnsi"/>
          <w:b/>
        </w:rPr>
        <w:t>a</w:t>
      </w:r>
      <w:r w:rsidR="00132252" w:rsidRPr="00DB00F0">
        <w:rPr>
          <w:rFonts w:cstheme="minorHAnsi"/>
          <w:b/>
        </w:rPr>
        <w:t xml:space="preserve"> 15</w:t>
      </w:r>
      <w:r w:rsidR="00F34170" w:rsidRPr="00DB00F0">
        <w:rPr>
          <w:rFonts w:cstheme="minorHAnsi"/>
          <w:b/>
        </w:rPr>
        <w:t> </w:t>
      </w:r>
      <w:r w:rsidR="00132252" w:rsidRPr="00DB00F0">
        <w:rPr>
          <w:rFonts w:cstheme="minorHAnsi"/>
          <w:b/>
        </w:rPr>
        <w:t xml:space="preserve">% </w:t>
      </w:r>
      <w:r w:rsidR="00F34170" w:rsidRPr="00DB00F0">
        <w:rPr>
          <w:rFonts w:cstheme="minorHAnsi"/>
          <w:b/>
        </w:rPr>
        <w:t>ze státního rozpočtu</w:t>
      </w:r>
      <w:r w:rsidR="00F34170">
        <w:rPr>
          <w:rFonts w:cstheme="minorHAnsi"/>
        </w:rPr>
        <w:t>.</w:t>
      </w:r>
      <w:r w:rsidR="00132252">
        <w:rPr>
          <w:rFonts w:cstheme="minorHAnsi"/>
        </w:rPr>
        <w:t xml:space="preserve"> </w:t>
      </w:r>
      <w:r w:rsidR="00F34170">
        <w:rPr>
          <w:rFonts w:cstheme="minorHAnsi"/>
        </w:rPr>
        <w:t xml:space="preserve">MF připouští i výjimky - </w:t>
      </w:r>
      <w:r w:rsidR="00856C1F" w:rsidRPr="00F34170">
        <w:rPr>
          <w:rFonts w:cstheme="minorHAnsi"/>
        </w:rPr>
        <w:t xml:space="preserve">např. </w:t>
      </w:r>
      <w:r w:rsidR="00F34170">
        <w:rPr>
          <w:rFonts w:cstheme="minorHAnsi"/>
        </w:rPr>
        <w:t xml:space="preserve">pro </w:t>
      </w:r>
      <w:r w:rsidR="00856C1F" w:rsidRPr="00F34170">
        <w:rPr>
          <w:rFonts w:cstheme="minorHAnsi"/>
        </w:rPr>
        <w:t>některé typy veřejných škol a veřejně prospěšné subjekt</w:t>
      </w:r>
      <w:r w:rsidR="00F34170">
        <w:rPr>
          <w:rFonts w:cstheme="minorHAnsi"/>
        </w:rPr>
        <w:t xml:space="preserve">y, kde </w:t>
      </w:r>
      <w:r w:rsidR="00DB00F0">
        <w:rPr>
          <w:rFonts w:cstheme="minorHAnsi"/>
        </w:rPr>
        <w:t>navrhuje</w:t>
      </w:r>
      <w:r w:rsidR="00F34170">
        <w:rPr>
          <w:rFonts w:cstheme="minorHAnsi"/>
        </w:rPr>
        <w:t xml:space="preserve"> </w:t>
      </w:r>
      <w:r w:rsidR="00DB00F0">
        <w:rPr>
          <w:rFonts w:cstheme="minorHAnsi"/>
        </w:rPr>
        <w:t xml:space="preserve">vyšší </w:t>
      </w:r>
      <w:r w:rsidR="00F34170">
        <w:rPr>
          <w:rFonts w:cstheme="minorHAnsi"/>
        </w:rPr>
        <w:t>podpor</w:t>
      </w:r>
      <w:r w:rsidR="00DB00F0">
        <w:rPr>
          <w:rFonts w:cstheme="minorHAnsi"/>
        </w:rPr>
        <w:t>u</w:t>
      </w:r>
      <w:r w:rsidR="00F34170">
        <w:rPr>
          <w:rFonts w:cstheme="minorHAnsi"/>
        </w:rPr>
        <w:t xml:space="preserve"> státu.</w:t>
      </w:r>
    </w:p>
    <w:p w:rsidR="00352C0A" w:rsidRPr="00352C0A" w:rsidRDefault="00352C0A" w:rsidP="0041040A">
      <w:pPr>
        <w:pStyle w:val="Odstavecseseznamem"/>
        <w:spacing w:after="0" w:line="240" w:lineRule="auto"/>
        <w:ind w:left="0" w:firstLine="357"/>
        <w:contextualSpacing w:val="0"/>
        <w:jc w:val="both"/>
        <w:rPr>
          <w:rFonts w:cstheme="minorHAnsi"/>
        </w:rPr>
      </w:pPr>
    </w:p>
    <w:p w:rsidR="005873C5" w:rsidRPr="00F34170" w:rsidRDefault="00DB00F0" w:rsidP="00352C0A">
      <w:pPr>
        <w:pStyle w:val="Odstavecseseznamem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 w:rsidRPr="00DB00F0">
        <w:rPr>
          <w:rFonts w:cstheme="minorHAnsi"/>
        </w:rPr>
        <w:t>4.2.</w:t>
      </w:r>
      <w:r>
        <w:rPr>
          <w:rFonts w:cstheme="minorHAnsi"/>
          <w:b/>
        </w:rPr>
        <w:t xml:space="preserve"> </w:t>
      </w:r>
      <w:r w:rsidR="00F34170" w:rsidRPr="0069180F">
        <w:rPr>
          <w:rFonts w:cstheme="minorHAnsi"/>
          <w:b/>
        </w:rPr>
        <w:t>Toto zjednodušení však na úkor méně rozvinutých regionů ruší regionální efekt</w:t>
      </w:r>
      <w:r w:rsidR="00F34170">
        <w:rPr>
          <w:rFonts w:cstheme="minorHAnsi"/>
        </w:rPr>
        <w:t xml:space="preserve">, kdy méně rozvinuté regiony měly vyšší dotace z EU a menší podíl národních dotací. </w:t>
      </w:r>
      <w:r w:rsidR="00F34170" w:rsidRPr="00DB00F0">
        <w:rPr>
          <w:rFonts w:cstheme="minorHAnsi"/>
        </w:rPr>
        <w:t>T</w:t>
      </w:r>
      <w:r w:rsidRPr="00DB00F0">
        <w:rPr>
          <w:rFonts w:cstheme="minorHAnsi"/>
        </w:rPr>
        <w:t xml:space="preserve">aké </w:t>
      </w:r>
      <w:r>
        <w:rPr>
          <w:rFonts w:cstheme="minorHAnsi"/>
          <w:b/>
        </w:rPr>
        <w:t>t</w:t>
      </w:r>
      <w:r w:rsidR="00F34170" w:rsidRPr="0069180F">
        <w:rPr>
          <w:rFonts w:cstheme="minorHAnsi"/>
          <w:b/>
        </w:rPr>
        <w:t xml:space="preserve">ento deficit je pozitivně řešen návrhem </w:t>
      </w:r>
      <w:r>
        <w:rPr>
          <w:rFonts w:cstheme="minorHAnsi"/>
          <w:b/>
        </w:rPr>
        <w:t>alokace, diferencované podle příjmu na obyvatele</w:t>
      </w:r>
      <w:r w:rsidR="009A5483">
        <w:rPr>
          <w:rFonts w:cstheme="minorHAnsi"/>
          <w:b/>
        </w:rPr>
        <w:t xml:space="preserve"> </w:t>
      </w:r>
      <w:r w:rsidR="009A5483">
        <w:rPr>
          <w:rFonts w:cstheme="minorHAnsi"/>
        </w:rPr>
        <w:t xml:space="preserve">(zjednodušený </w:t>
      </w:r>
      <w:r w:rsidR="009A5483">
        <w:t>„</w:t>
      </w:r>
      <w:r w:rsidR="009A5483">
        <w:rPr>
          <w:rFonts w:cstheme="minorHAnsi"/>
        </w:rPr>
        <w:t>lokální</w:t>
      </w:r>
      <w:r w:rsidR="009A5483" w:rsidRPr="003A3CE6">
        <w:rPr>
          <w:rFonts w:cstheme="minorHAnsi"/>
          <w:iCs/>
        </w:rPr>
        <w:t>“</w:t>
      </w:r>
      <w:r w:rsidR="009A5483">
        <w:rPr>
          <w:rFonts w:cstheme="minorHAnsi"/>
        </w:rPr>
        <w:t xml:space="preserve"> ekvivalent HDP v regionech NUTS 2</w:t>
      </w:r>
      <w:r w:rsidR="009A5483" w:rsidRPr="00E3459E">
        <w:rPr>
          <w:rFonts w:cstheme="minorHAnsi"/>
        </w:rPr>
        <w:t>)</w:t>
      </w:r>
      <w:r>
        <w:rPr>
          <w:rFonts w:cstheme="minorHAnsi"/>
          <w:b/>
        </w:rPr>
        <w:t xml:space="preserve"> v jednotlivých MAS</w:t>
      </w:r>
      <w:r w:rsidRPr="00E3459E">
        <w:rPr>
          <w:rFonts w:cstheme="minorHAnsi"/>
        </w:rPr>
        <w:t>,</w:t>
      </w:r>
      <w:r w:rsidR="00F34170" w:rsidRPr="00E3459E">
        <w:rPr>
          <w:rFonts w:cstheme="minorHAnsi"/>
        </w:rPr>
        <w:t xml:space="preserve"> dle bodu 3.3. výše a </w:t>
      </w:r>
      <w:r w:rsidRPr="00E3459E">
        <w:rPr>
          <w:rFonts w:cstheme="minorHAnsi"/>
        </w:rPr>
        <w:t xml:space="preserve">připojené </w:t>
      </w:r>
      <w:r w:rsidR="00F34170" w:rsidRPr="00E3459E">
        <w:rPr>
          <w:rFonts w:cstheme="minorHAnsi"/>
        </w:rPr>
        <w:t>tabulky</w:t>
      </w:r>
      <w:r w:rsidR="00F34170" w:rsidRPr="0069180F">
        <w:rPr>
          <w:rFonts w:cstheme="minorHAnsi"/>
          <w:b/>
        </w:rPr>
        <w:t>.</w:t>
      </w:r>
      <w:r w:rsidR="00856C1F" w:rsidRPr="00F34170">
        <w:rPr>
          <w:rFonts w:cstheme="minorHAnsi"/>
        </w:rPr>
        <w:t xml:space="preserve"> </w:t>
      </w:r>
    </w:p>
    <w:p w:rsidR="00D44F33" w:rsidRPr="00D44F33" w:rsidRDefault="00D44F33" w:rsidP="00D44F33">
      <w:pPr>
        <w:pStyle w:val="Odstavecseseznamem"/>
        <w:spacing w:after="0" w:line="240" w:lineRule="auto"/>
        <w:ind w:left="357"/>
        <w:jc w:val="both"/>
        <w:rPr>
          <w:rFonts w:cs="Arial"/>
        </w:rPr>
      </w:pPr>
    </w:p>
    <w:p w:rsidR="005A0F26" w:rsidRDefault="00BC7945" w:rsidP="005A0F26">
      <w:pPr>
        <w:spacing w:after="0" w:line="240" w:lineRule="auto"/>
        <w:ind w:firstLine="357"/>
        <w:jc w:val="both"/>
      </w:pPr>
      <w:r>
        <w:t xml:space="preserve">4.3. </w:t>
      </w:r>
      <w:r w:rsidR="00E3459E">
        <w:t xml:space="preserve">Každá analýza, jako je tato, by se měla </w:t>
      </w:r>
      <w:r w:rsidR="00D16347">
        <w:t>odpovídajícím</w:t>
      </w:r>
      <w:r w:rsidR="00E3459E">
        <w:t xml:space="preserve"> způsobem vrátit k minulosti – v daném případě k plánovacímu </w:t>
      </w:r>
      <w:r w:rsidR="00E3459E" w:rsidRPr="00BC7945">
        <w:rPr>
          <w:b/>
        </w:rPr>
        <w:t xml:space="preserve">období 2014-2020. Realizace CLLD v něm byla velmi negativně ovlivněna více než dvouletým zpožděním možnosti čerpání, způsobeným zpožděným hodnocením strategií MAS ze strany MMR </w:t>
      </w:r>
      <w:r w:rsidR="00E3459E" w:rsidRPr="00E3459E">
        <w:t>(sekc</w:t>
      </w:r>
      <w:r>
        <w:t>e</w:t>
      </w:r>
      <w:r w:rsidR="00E3459E" w:rsidRPr="00E3459E">
        <w:t xml:space="preserve"> regionálního rozvoje).</w:t>
      </w:r>
      <w:r w:rsidR="00C12ABB">
        <w:t xml:space="preserve"> </w:t>
      </w:r>
      <w:r w:rsidR="005A0F26">
        <w:t>Aktuální očekávaná celková alokace pro CLLD v tomto období činí 7,7 mld. Kč.</w:t>
      </w:r>
      <w:r w:rsidR="005A0F26" w:rsidRPr="00BC7945">
        <w:rPr>
          <w:vertAlign w:val="superscript"/>
        </w:rPr>
        <w:t>2</w:t>
      </w:r>
      <w:r w:rsidR="005A0F26">
        <w:rPr>
          <w:vertAlign w:val="superscript"/>
        </w:rPr>
        <w:t xml:space="preserve"> </w:t>
      </w:r>
      <w:r w:rsidR="005A0F26">
        <w:t xml:space="preserve">Lze předpokládat, že při plynulé realizaci mohlo být </w:t>
      </w:r>
      <w:r w:rsidR="00F24FCE">
        <w:t xml:space="preserve">reálně </w:t>
      </w:r>
      <w:r w:rsidR="005A0F26">
        <w:t xml:space="preserve">dosaženo </w:t>
      </w:r>
      <w:r w:rsidR="00F24FCE" w:rsidRPr="00F24FCE">
        <w:rPr>
          <w:b/>
        </w:rPr>
        <w:t xml:space="preserve">nejméně </w:t>
      </w:r>
      <w:r w:rsidR="005A0F26" w:rsidRPr="00F24FCE">
        <w:rPr>
          <w:b/>
        </w:rPr>
        <w:t>10,8 mld. Kč</w:t>
      </w:r>
      <w:r w:rsidR="005A0F26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F3F04" w:rsidTr="007F3F04">
        <w:trPr>
          <w:cantSplit/>
          <w:trHeight w:val="113"/>
        </w:trPr>
        <w:tc>
          <w:tcPr>
            <w:tcW w:w="3510" w:type="dxa"/>
            <w:tcBorders>
              <w:bottom w:val="single" w:sz="4" w:space="0" w:color="auto"/>
            </w:tcBorders>
          </w:tcPr>
          <w:p w:rsidR="007F3F04" w:rsidRDefault="007F3F04" w:rsidP="00B262EC"/>
        </w:tc>
      </w:tr>
    </w:tbl>
    <w:p w:rsidR="007F3F04" w:rsidRPr="008A125F" w:rsidRDefault="007F3F04" w:rsidP="007F3F04">
      <w:pPr>
        <w:spacing w:before="120" w:after="0" w:line="240" w:lineRule="auto"/>
        <w:jc w:val="both"/>
        <w:rPr>
          <w:rFonts w:cs="Arial"/>
        </w:rPr>
      </w:pPr>
      <w:r w:rsidRPr="008A125F">
        <w:rPr>
          <w:vertAlign w:val="superscript"/>
        </w:rPr>
        <w:t>2</w:t>
      </w:r>
      <w:r>
        <w:t xml:space="preserve"> Zdroj: Dopočet podle stavu administrace CLLD v IROP k 5.</w:t>
      </w:r>
      <w:r w:rsidR="00D16347">
        <w:t xml:space="preserve"> </w:t>
      </w:r>
      <w:r>
        <w:t>2.</w:t>
      </w:r>
      <w:r w:rsidR="00D16347">
        <w:t xml:space="preserve"> </w:t>
      </w:r>
      <w:r>
        <w:t>2021</w:t>
      </w:r>
    </w:p>
    <w:p w:rsidR="007F3F04" w:rsidRPr="005A0F26" w:rsidRDefault="007F3F04" w:rsidP="005A0F26">
      <w:pPr>
        <w:spacing w:after="0" w:line="240" w:lineRule="auto"/>
        <w:ind w:firstLine="357"/>
        <w:jc w:val="both"/>
      </w:pPr>
    </w:p>
    <w:p w:rsidR="000D43AF" w:rsidRDefault="005A0F26" w:rsidP="00BC7945">
      <w:pPr>
        <w:spacing w:after="0" w:line="240" w:lineRule="auto"/>
        <w:ind w:firstLine="357"/>
        <w:jc w:val="both"/>
        <w:rPr>
          <w:b/>
        </w:rPr>
      </w:pPr>
      <w:r w:rsidRPr="005A0F26">
        <w:t>4.4.</w:t>
      </w:r>
      <w:r>
        <w:rPr>
          <w:b/>
        </w:rPr>
        <w:t xml:space="preserve"> </w:t>
      </w:r>
      <w:r w:rsidR="00C12ABB" w:rsidRPr="005A0F26">
        <w:rPr>
          <w:b/>
        </w:rPr>
        <w:t>Při přepočtu na obyvatele MAS oscilovaly alokace z </w:t>
      </w:r>
      <w:r w:rsidR="00D16347">
        <w:rPr>
          <w:b/>
        </w:rPr>
        <w:t>IROP</w:t>
      </w:r>
      <w:r w:rsidR="00C12ABB" w:rsidRPr="005A0F26">
        <w:rPr>
          <w:b/>
        </w:rPr>
        <w:t xml:space="preserve"> kolem průměrných 1 175 Kč </w:t>
      </w:r>
      <w:r w:rsidR="00C12ABB" w:rsidRPr="00BC1DCC">
        <w:t>(nejmenší 860</w:t>
      </w:r>
      <w:r w:rsidR="00B65EC1" w:rsidRPr="00BC1DCC">
        <w:t xml:space="preserve"> Kč v MAS Živé pomezí Krumlovsko-Jevišovicko, z.s., největší 1 366 v MAS Šumavsko, z.s.)</w:t>
      </w:r>
      <w:r w:rsidRPr="00BC1DCC">
        <w:t xml:space="preserve">. </w:t>
      </w:r>
      <w:r w:rsidR="00F24FCE" w:rsidRPr="00BC1DCC">
        <w:t>A</w:t>
      </w:r>
      <w:r w:rsidRPr="00BC1DCC">
        <w:t>lokace pro MAS nebyly regionálně diferencovány.</w:t>
      </w:r>
      <w:r w:rsidR="00BC7945" w:rsidRPr="005A0F26">
        <w:rPr>
          <w:b/>
        </w:rPr>
        <w:t xml:space="preserve"> </w:t>
      </w:r>
      <w:r w:rsidR="00BC1DCC" w:rsidRPr="006C6605">
        <w:rPr>
          <w:b/>
        </w:rPr>
        <w:t xml:space="preserve">Empirický výzkum by zřejmě ukázal, že nedostatečné čerpání a mnohdy i motivace MAS jsou způsobeny </w:t>
      </w:r>
      <w:r w:rsidR="007F3F04">
        <w:rPr>
          <w:b/>
        </w:rPr>
        <w:t xml:space="preserve">také </w:t>
      </w:r>
      <w:r w:rsidR="00BC1DCC" w:rsidRPr="006C6605">
        <w:rPr>
          <w:b/>
        </w:rPr>
        <w:t>velmi nízkými alokacemi a</w:t>
      </w:r>
      <w:r w:rsidR="00BC1DCC">
        <w:rPr>
          <w:b/>
        </w:rPr>
        <w:t> </w:t>
      </w:r>
      <w:r w:rsidR="00BC1DCC" w:rsidRPr="006C6605">
        <w:rPr>
          <w:b/>
        </w:rPr>
        <w:t xml:space="preserve">nedostatečnou regionální diferenciací. </w:t>
      </w:r>
    </w:p>
    <w:p w:rsidR="00F24FCE" w:rsidRDefault="00F24FCE" w:rsidP="00BC7945">
      <w:pPr>
        <w:spacing w:after="0" w:line="240" w:lineRule="auto"/>
        <w:ind w:firstLine="357"/>
        <w:jc w:val="both"/>
        <w:rPr>
          <w:b/>
        </w:rPr>
      </w:pPr>
    </w:p>
    <w:p w:rsidR="00F24FCE" w:rsidRDefault="00F24FCE" w:rsidP="0041040A">
      <w:pPr>
        <w:spacing w:after="120" w:line="240" w:lineRule="auto"/>
        <w:ind w:firstLine="357"/>
        <w:jc w:val="both"/>
      </w:pPr>
      <w:r w:rsidRPr="00F24FCE">
        <w:t xml:space="preserve">4.5. </w:t>
      </w:r>
      <w:r w:rsidR="00BC1DCC" w:rsidRPr="006C6605">
        <w:rPr>
          <w:b/>
        </w:rPr>
        <w:t>K tomu přistupuje rozdílná kvalita a akceschopnost MAS.</w:t>
      </w:r>
      <w:r w:rsidR="00BC1DCC">
        <w:rPr>
          <w:b/>
        </w:rPr>
        <w:t xml:space="preserve"> </w:t>
      </w:r>
      <w:r w:rsidR="006C6605">
        <w:t>M</w:t>
      </w:r>
      <w:r>
        <w:t>MR</w:t>
      </w:r>
      <w:r w:rsidR="006C6605">
        <w:t xml:space="preserve"> (sekce evropských a</w:t>
      </w:r>
      <w:r w:rsidR="00376511">
        <w:t> </w:t>
      </w:r>
      <w:r w:rsidR="006C6605">
        <w:t xml:space="preserve">národních programů) </w:t>
      </w:r>
      <w:r w:rsidR="009941EE">
        <w:t>oceňuje rychlost</w:t>
      </w:r>
      <w:r w:rsidR="006C6605">
        <w:t xml:space="preserve"> přípravy</w:t>
      </w:r>
      <w:r w:rsidR="009941EE">
        <w:t xml:space="preserve"> a administrace</w:t>
      </w:r>
      <w:r w:rsidR="006C6605">
        <w:t xml:space="preserve"> individuálních projektů</w:t>
      </w:r>
      <w:r w:rsidR="009941EE">
        <w:t xml:space="preserve"> oproti projektům v rámci</w:t>
      </w:r>
      <w:r w:rsidR="006C6605">
        <w:t xml:space="preserve"> MAS.</w:t>
      </w:r>
      <w:r w:rsidR="00BC1DCC">
        <w:t xml:space="preserve"> To</w:t>
      </w:r>
      <w:r w:rsidR="007F3F04">
        <w:t>,</w:t>
      </w:r>
      <w:r w:rsidR="00BC1DCC">
        <w:t xml:space="preserve"> bohužel</w:t>
      </w:r>
      <w:r w:rsidR="007F3F04">
        <w:t>,</w:t>
      </w:r>
      <w:r w:rsidR="00BC1DCC">
        <w:t xml:space="preserve"> dokládá i skutečnost, že k 5. 2. 2021 </w:t>
      </w:r>
      <w:r w:rsidR="00590BD7">
        <w:t>-</w:t>
      </w:r>
      <w:r w:rsidR="009941EE">
        <w:t xml:space="preserve"> po 4 letech plné realizace CLLD</w:t>
      </w:r>
      <w:r w:rsidR="00352C0A">
        <w:t xml:space="preserve"> - </w:t>
      </w:r>
      <w:r w:rsidR="00354A52">
        <w:t>dosá</w:t>
      </w:r>
      <w:r w:rsidR="00BC1DCC">
        <w:t>hlo čerpání v</w:t>
      </w:r>
      <w:r w:rsidR="00352C0A">
        <w:t xml:space="preserve"> jeho </w:t>
      </w:r>
      <w:r w:rsidR="00BC1DCC">
        <w:t xml:space="preserve">rámci jen </w:t>
      </w:r>
      <w:r w:rsidR="00867829">
        <w:t>47</w:t>
      </w:r>
      <w:r w:rsidR="00BC1DCC">
        <w:t xml:space="preserve"> %. </w:t>
      </w:r>
      <w:r w:rsidR="00FD14B1">
        <w:t xml:space="preserve">Čerpání </w:t>
      </w:r>
      <w:r w:rsidR="00867829">
        <w:t>jednotlivých MAS je uvedeno v tabulce</w:t>
      </w:r>
      <w:r w:rsidR="00354A52">
        <w:t>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373"/>
        <w:gridCol w:w="1294"/>
        <w:gridCol w:w="1249"/>
        <w:gridCol w:w="960"/>
      </w:tblGrid>
      <w:tr w:rsidR="003A3903" w:rsidRPr="003A3903" w:rsidTr="00DA42B2">
        <w:trPr>
          <w:trHeight w:val="9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Strategie MAS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 předložených projektech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ve schválených projektech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rozvoj Kladenska a Prahy-západ,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Světovina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Mikulovsko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Hustopečsko,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Krajina srdce,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Rokytná,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Partnerství venkova,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Nad Prahou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Lednicko-valtický areál,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Brdy - Vltava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Strážnicko,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Živé pomezí Krumlovsko-Jevišovicko,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Mezi Hrady, z.s.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127%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Strategie MAS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 předložených projektech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ve schválených projektech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Vodňanská ryba,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Sdružení Západní Krušnohoří,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Mladoboleslavský venkov, z.ú.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Via rustica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Krkonoše,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Karlštejnsko, z.ú.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OSLAVKA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MAS Mohelnicko,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Vyškovsko,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Radbuza,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Strakonicko,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Ekoregion Úhlava,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CÍNOVECKO o. p.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Region Kunětické hory,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Hrušovansko,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Kyjovské Slovácko v pohybu,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Vizovicko a Slušovicko,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Znojemské vinařství,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Rozvoj Krnovska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Rozvoj Tanvaldska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Český Západ,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Českomoravské pomezí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Střední Povltaví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Brána Brněnska,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Střední Vsetínsko,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MORAVSKÁ BRÁNA,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 Vysočiny,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Frýdlantsko,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Podhorácko,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Hanácké Království,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Pomalší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Slavkovské bojiště,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Otevřené zahrady Jičínska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Hlubocko - Lišovsko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Brdy, z.ú.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SVATOJIŘSKÝ LES,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POŠUMAVÍ, zapsaný spolek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Moravskotřebovsko a Jevíčsko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SERVISO, o. p.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Království - Jestřebí hory,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Královská stezka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Moravský kras z.s.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127%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Strategie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 předložených projektech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ve schválených projektech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Česká Kanada o.p.s.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147%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Hornolidečska,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Český les,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Říčansko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Přemyslovské střední Čechy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Šipka,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Jihozápad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Podještědí,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- Partnerství Moštěnka,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Vyhlídky,z.s.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Český sever,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Buchlov,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Horní Pomoraví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Region Pošembeří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Zlatá cesta,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VLTAVA,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Podhostýnska,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Zálabí,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Mikroregionu Telčsko,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Společnost pro rozvoj Humpolecka,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Hříběcí hory,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Jemnicko,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- Střední Polabí,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Krušné hory,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Bobrava,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Podbrněnsko, spolek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Lašsko,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Naděje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Hranicko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Brána Vysočiny,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Sdružení SPLAV,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Achát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Hlučínsko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Hrubý Jeseník,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Šumperský venkov,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Regionu Poodří,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Sdružení Růže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Sedlčansko,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Boskovicko PLUS,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Litomyšlsko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Mezi Úpou a Metují,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Region HANÁ, z. 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Strategie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A3903" w:rsidRPr="003A3903" w:rsidRDefault="003A3903" w:rsidP="003A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 předložených projektech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ve schválených projektech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903" w:rsidRPr="003A3903" w:rsidRDefault="003A3903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Vladař o.p.s.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Zubří země,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Staroměstsko,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Lanškrounsko,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Dolní Morava,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Bystřička,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Kraj živých vod,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Broumovsko+,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Rozkvět,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Severní Chřiby a Pomoraví,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Posázaví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Aktivios,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 ORLICÍ,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Podchlumí,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Rakovnicko o. p.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Podlipansko,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Rožnovsko,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Jablunkovsko,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Třeboňsko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Horňácko a Ostrožsko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Hanácký venkov,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Železnohorský region,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LAG Podralsko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Střední Haná,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Havlíčkův kraj,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Moravská cesta,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Dolní Poolšaví,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Frýdlantsko - Beskydy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Jižní Haná o. p.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POLIČSKO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Lípa pro venkov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POHODA venkova,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Podřipsko,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Svitava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Blatensko,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Bohdanečsko,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Královédvorsko,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SVATOVÁCLAVSKO,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Ploština,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RÝMAŘOVSKO, 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Obecně prospěšná společnost pro Český ráj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Opavsko z.s.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67%</w:t>
            </w:r>
          </w:p>
        </w:tc>
      </w:tr>
      <w:tr w:rsidR="00DA42B2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2" w:rsidRPr="003A3903" w:rsidRDefault="00DA42B2" w:rsidP="00FA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Strategie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42B2" w:rsidRPr="003A3903" w:rsidRDefault="00DA42B2" w:rsidP="00FA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2" w:rsidRPr="003A3903" w:rsidRDefault="00DA42B2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 předložených projektech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2" w:rsidRPr="003A3903" w:rsidRDefault="00DA42B2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Objem prostředků ve schválených projektech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2B2" w:rsidRPr="003A3903" w:rsidRDefault="00DA42B2" w:rsidP="000A7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České středohoří, z.s.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155%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Blanský les - Netolicko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PODBRDSKO,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Hradecký venkov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Dolnobřežansko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Brána do Českého ráje,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Luhačovské Zálesí,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Stolové hory,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Šternbersko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Východní Slovácko,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Podhůří Železných hor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Boleslavsko, z.ú.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Uničovsko,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Chrudimsko,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Společná CIDLINA,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Královéhradecký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Šumavsko,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Labské skály,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Ústecký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Sokolovsko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131%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Pobeskydí,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21,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Valašsko - Horní Vsacko,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Třešťsko,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ORLICKO,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Skutečsko, Košumbersko a Chrastecko,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LEADER - Loucko,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Vysočina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Holicko,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svatého Jana z Nepomuku,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Plzeňský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Vincenze Priessnitze pro Jesenicko,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Bojkovska,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Prostějov venkov o.p.s.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Olomoucký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Blaník,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"Přiďte pobejt!"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Liberecký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Kelečsko - Lešensko - Starojicko,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Zlínský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Slezská brána,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Hlinecko, z. 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Pardubický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Mezilesí,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Lužnice,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BRÁNA PÍSECKA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Jihočeský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90%</w:t>
            </w:r>
          </w:p>
        </w:tc>
      </w:tr>
      <w:tr w:rsidR="003A3903" w:rsidRPr="003A3903" w:rsidTr="00B17BE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Bohumínsko, z.s.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Moravskoslezský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B17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93%</w:t>
            </w:r>
          </w:p>
        </w:tc>
      </w:tr>
      <w:tr w:rsidR="003A3903" w:rsidRPr="003A3903" w:rsidTr="00DA42B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3903" w:rsidRPr="00DA42B2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A42B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114%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A3903" w:rsidRPr="00DA42B2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A42B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03" w:rsidRPr="003A3903" w:rsidRDefault="003A3903" w:rsidP="003A3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A3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47%</w:t>
            </w:r>
          </w:p>
        </w:tc>
      </w:tr>
    </w:tbl>
    <w:p w:rsidR="003A3903" w:rsidRDefault="003A3903" w:rsidP="003A3903">
      <w:pPr>
        <w:spacing w:after="120" w:line="240" w:lineRule="auto"/>
        <w:jc w:val="both"/>
      </w:pPr>
    </w:p>
    <w:p w:rsidR="00DA42B2" w:rsidRDefault="00BF6DD7" w:rsidP="00DA42B2">
      <w:pPr>
        <w:spacing w:after="0" w:line="240" w:lineRule="auto"/>
        <w:ind w:firstLine="357"/>
        <w:jc w:val="both"/>
        <w:rPr>
          <w:rFonts w:eastAsia="Times New Roman" w:cstheme="minorHAnsi"/>
          <w:color w:val="222222"/>
          <w:lang w:eastAsia="cs-CZ"/>
        </w:rPr>
      </w:pPr>
      <w:r>
        <w:lastRenderedPageBreak/>
        <w:t xml:space="preserve">4.6. </w:t>
      </w:r>
      <w:r w:rsidR="00867829">
        <w:t>Přesto, že tabulka není líbivá, p</w:t>
      </w:r>
      <w:r w:rsidR="006C6605" w:rsidRPr="006C6605">
        <w:rPr>
          <w:rFonts w:eastAsia="Times New Roman" w:cstheme="minorHAnsi"/>
          <w:b/>
          <w:bCs/>
          <w:color w:val="222222"/>
          <w:lang w:eastAsia="cs-CZ"/>
        </w:rPr>
        <w:t xml:space="preserve">rosazování CLLD jako procesu, který se odehrává na nejnižší možné </w:t>
      </w:r>
      <w:r w:rsidR="006C6605" w:rsidRPr="00BF6DD7">
        <w:rPr>
          <w:rFonts w:eastAsia="Times New Roman" w:cstheme="minorHAnsi"/>
          <w:b/>
          <w:bCs/>
          <w:color w:val="222222"/>
          <w:lang w:eastAsia="cs-CZ"/>
        </w:rPr>
        <w:t>úrovni</w:t>
      </w:r>
      <w:r w:rsidR="006C6605" w:rsidRPr="00BF6DD7">
        <w:rPr>
          <w:rFonts w:eastAsia="Times New Roman" w:cstheme="minorHAnsi"/>
          <w:b/>
          <w:color w:val="222222"/>
          <w:lang w:eastAsia="cs-CZ"/>
        </w:rPr>
        <w:t>, má i do budoucna velký význam</w:t>
      </w:r>
      <w:r w:rsidR="006C6605" w:rsidRPr="006C6605">
        <w:rPr>
          <w:rFonts w:eastAsia="Times New Roman" w:cstheme="minorHAnsi"/>
          <w:color w:val="222222"/>
          <w:lang w:eastAsia="cs-CZ"/>
        </w:rPr>
        <w:t>.</w:t>
      </w:r>
      <w:r w:rsidR="00867829">
        <w:rPr>
          <w:rFonts w:eastAsia="Times New Roman" w:cstheme="minorHAnsi"/>
          <w:color w:val="222222"/>
          <w:lang w:eastAsia="cs-CZ"/>
        </w:rPr>
        <w:t xml:space="preserve"> </w:t>
      </w:r>
      <w:r w:rsidR="00352C0A">
        <w:rPr>
          <w:rFonts w:eastAsia="Times New Roman" w:cstheme="minorHAnsi"/>
          <w:color w:val="222222"/>
          <w:lang w:eastAsia="cs-CZ"/>
        </w:rPr>
        <w:t xml:space="preserve">Nicméně vyjednávání vyšších finančních alokací je díky nevyváženosti výkonů MAS obtížné. </w:t>
      </w:r>
      <w:r w:rsidR="00867829" w:rsidRPr="00D527A9">
        <w:rPr>
          <w:rFonts w:eastAsia="Times New Roman" w:cstheme="minorHAnsi"/>
          <w:color w:val="222222"/>
          <w:lang w:eastAsia="cs-CZ"/>
        </w:rPr>
        <w:t xml:space="preserve">Musíme si </w:t>
      </w:r>
      <w:r w:rsidR="00352C0A">
        <w:rPr>
          <w:rFonts w:eastAsia="Times New Roman" w:cstheme="minorHAnsi"/>
          <w:color w:val="222222"/>
          <w:lang w:eastAsia="cs-CZ"/>
        </w:rPr>
        <w:t>proto především</w:t>
      </w:r>
      <w:r w:rsidR="00867829" w:rsidRPr="00D527A9">
        <w:rPr>
          <w:rFonts w:eastAsia="Times New Roman" w:cstheme="minorHAnsi"/>
          <w:color w:val="222222"/>
          <w:lang w:eastAsia="cs-CZ"/>
        </w:rPr>
        <w:t xml:space="preserve"> hlídat účast obcí</w:t>
      </w:r>
      <w:r w:rsidRPr="00D527A9">
        <w:rPr>
          <w:rFonts w:eastAsia="Times New Roman" w:cstheme="minorHAnsi"/>
          <w:color w:val="222222"/>
          <w:lang w:eastAsia="cs-CZ"/>
        </w:rPr>
        <w:t xml:space="preserve"> včetně jejich hlavní zodpovědnost</w:t>
      </w:r>
      <w:r w:rsidR="007F3F04" w:rsidRPr="00D527A9">
        <w:rPr>
          <w:rFonts w:eastAsia="Times New Roman" w:cstheme="minorHAnsi"/>
          <w:color w:val="222222"/>
          <w:lang w:eastAsia="cs-CZ"/>
        </w:rPr>
        <w:t>i</w:t>
      </w:r>
      <w:r w:rsidRPr="00D527A9">
        <w:rPr>
          <w:rFonts w:eastAsia="Times New Roman" w:cstheme="minorHAnsi"/>
          <w:color w:val="222222"/>
          <w:lang w:eastAsia="cs-CZ"/>
        </w:rPr>
        <w:t xml:space="preserve"> za </w:t>
      </w:r>
      <w:r w:rsidR="00881073">
        <w:rPr>
          <w:rFonts w:eastAsia="Times New Roman" w:cstheme="minorHAnsi"/>
          <w:color w:val="222222"/>
          <w:lang w:eastAsia="cs-CZ"/>
        </w:rPr>
        <w:t xml:space="preserve">správné </w:t>
      </w:r>
      <w:r w:rsidRPr="00D527A9">
        <w:rPr>
          <w:rFonts w:eastAsia="Times New Roman" w:cstheme="minorHAnsi"/>
          <w:color w:val="222222"/>
          <w:lang w:eastAsia="cs-CZ"/>
        </w:rPr>
        <w:t>fungování tohoto procesu</w:t>
      </w:r>
      <w:r w:rsidR="00867829" w:rsidRPr="00D527A9">
        <w:rPr>
          <w:rFonts w:eastAsia="Times New Roman" w:cstheme="minorHAnsi"/>
          <w:color w:val="222222"/>
          <w:lang w:eastAsia="cs-CZ"/>
        </w:rPr>
        <w:t>.</w:t>
      </w:r>
      <w:r w:rsidR="006C6605" w:rsidRPr="006C6605">
        <w:rPr>
          <w:rFonts w:eastAsia="Times New Roman" w:cstheme="minorHAnsi"/>
          <w:color w:val="222222"/>
          <w:lang w:eastAsia="cs-CZ"/>
        </w:rPr>
        <w:t xml:space="preserve"> Také pro kraje budou </w:t>
      </w:r>
      <w:r>
        <w:rPr>
          <w:rFonts w:eastAsia="Times New Roman" w:cstheme="minorHAnsi"/>
          <w:color w:val="222222"/>
          <w:lang w:eastAsia="cs-CZ"/>
        </w:rPr>
        <w:t xml:space="preserve">MAS </w:t>
      </w:r>
      <w:r w:rsidR="006C6605" w:rsidRPr="006C6605">
        <w:rPr>
          <w:rFonts w:eastAsia="Times New Roman" w:cstheme="minorHAnsi"/>
          <w:color w:val="222222"/>
          <w:lang w:eastAsia="cs-CZ"/>
        </w:rPr>
        <w:t xml:space="preserve">zajímavé úrovně, se kterými </w:t>
      </w:r>
      <w:r w:rsidR="00867829">
        <w:rPr>
          <w:rFonts w:eastAsia="Times New Roman" w:cstheme="minorHAnsi"/>
          <w:color w:val="222222"/>
          <w:lang w:eastAsia="cs-CZ"/>
        </w:rPr>
        <w:t>mohou</w:t>
      </w:r>
      <w:r w:rsidR="006C6605" w:rsidRPr="006C6605">
        <w:rPr>
          <w:rFonts w:eastAsia="Times New Roman" w:cstheme="minorHAnsi"/>
          <w:color w:val="222222"/>
          <w:lang w:eastAsia="cs-CZ"/>
        </w:rPr>
        <w:t xml:space="preserve"> dobře jednat a </w:t>
      </w:r>
      <w:r w:rsidR="00867829">
        <w:rPr>
          <w:rFonts w:eastAsia="Times New Roman" w:cstheme="minorHAnsi"/>
          <w:color w:val="222222"/>
          <w:lang w:eastAsia="cs-CZ"/>
        </w:rPr>
        <w:t>také je</w:t>
      </w:r>
      <w:r w:rsidR="006C6605" w:rsidRPr="006C6605">
        <w:rPr>
          <w:rFonts w:eastAsia="Times New Roman" w:cstheme="minorHAnsi"/>
          <w:color w:val="222222"/>
          <w:lang w:eastAsia="cs-CZ"/>
        </w:rPr>
        <w:t xml:space="preserve"> podporovat. </w:t>
      </w:r>
      <w:r w:rsidR="00D527A9" w:rsidRPr="00D527A9">
        <w:rPr>
          <w:rFonts w:eastAsia="Times New Roman" w:cstheme="minorHAnsi"/>
          <w:b/>
          <w:color w:val="222222"/>
          <w:lang w:eastAsia="cs-CZ"/>
        </w:rPr>
        <w:t>M</w:t>
      </w:r>
      <w:r w:rsidR="006C6605" w:rsidRPr="00D527A9">
        <w:rPr>
          <w:rFonts w:eastAsia="Times New Roman" w:cstheme="minorHAnsi"/>
          <w:b/>
          <w:color w:val="222222"/>
          <w:lang w:eastAsia="cs-CZ"/>
        </w:rPr>
        <w:t xml:space="preserve">usíme dát </w:t>
      </w:r>
      <w:r w:rsidR="00867829" w:rsidRPr="00D527A9">
        <w:rPr>
          <w:rFonts w:eastAsia="Times New Roman" w:cstheme="minorHAnsi"/>
          <w:b/>
          <w:color w:val="222222"/>
          <w:lang w:eastAsia="cs-CZ"/>
        </w:rPr>
        <w:t xml:space="preserve">společně s územními partnery </w:t>
      </w:r>
      <w:r w:rsidR="006C6605" w:rsidRPr="00D527A9">
        <w:rPr>
          <w:rFonts w:eastAsia="Times New Roman" w:cstheme="minorHAnsi"/>
          <w:b/>
          <w:color w:val="222222"/>
          <w:lang w:eastAsia="cs-CZ"/>
        </w:rPr>
        <w:t xml:space="preserve">hlasitě najevo, že v orgánech MAS </w:t>
      </w:r>
      <w:r w:rsidRPr="00D527A9">
        <w:rPr>
          <w:rFonts w:eastAsia="Times New Roman" w:cstheme="minorHAnsi"/>
          <w:b/>
          <w:color w:val="222222"/>
          <w:lang w:eastAsia="cs-CZ"/>
        </w:rPr>
        <w:t>mají mít</w:t>
      </w:r>
      <w:r w:rsidR="006C6605" w:rsidRPr="00D527A9">
        <w:rPr>
          <w:rFonts w:eastAsia="Times New Roman" w:cstheme="minorHAnsi"/>
          <w:b/>
          <w:color w:val="222222"/>
          <w:lang w:eastAsia="cs-CZ"/>
        </w:rPr>
        <w:t xml:space="preserve"> obce velké slovo - u naprosté většiny MAS je včele programového výboru představitel obce</w:t>
      </w:r>
      <w:r w:rsidRPr="00D527A9">
        <w:rPr>
          <w:rFonts w:eastAsia="Times New Roman" w:cstheme="minorHAnsi"/>
          <w:b/>
          <w:color w:val="222222"/>
          <w:lang w:eastAsia="cs-CZ"/>
        </w:rPr>
        <w:t>, který musí převzít zodpovědnost</w:t>
      </w:r>
      <w:r w:rsidR="00D527A9">
        <w:rPr>
          <w:rFonts w:eastAsia="Times New Roman" w:cstheme="minorHAnsi"/>
          <w:b/>
          <w:color w:val="222222"/>
          <w:lang w:eastAsia="cs-CZ"/>
        </w:rPr>
        <w:t xml:space="preserve"> za její fungování</w:t>
      </w:r>
      <w:r>
        <w:rPr>
          <w:rFonts w:eastAsia="Times New Roman" w:cstheme="minorHAnsi"/>
          <w:color w:val="222222"/>
          <w:lang w:eastAsia="cs-CZ"/>
        </w:rPr>
        <w:t xml:space="preserve">. Hlavně na tomto výboru </w:t>
      </w:r>
      <w:r w:rsidR="006C6605" w:rsidRPr="006C6605">
        <w:rPr>
          <w:rFonts w:eastAsia="Times New Roman" w:cstheme="minorHAnsi"/>
          <w:color w:val="222222"/>
          <w:lang w:eastAsia="cs-CZ"/>
        </w:rPr>
        <w:t xml:space="preserve">je, aby strategie MAS i celý proces odpovídal zájmům obcí a nejen občanů, zastoupených </w:t>
      </w:r>
      <w:r w:rsidR="00D527A9">
        <w:rPr>
          <w:rFonts w:eastAsia="Times New Roman" w:cstheme="minorHAnsi"/>
          <w:color w:val="222222"/>
          <w:lang w:eastAsia="cs-CZ"/>
        </w:rPr>
        <w:t>místními podnikateli a různými neziskovkami.</w:t>
      </w:r>
    </w:p>
    <w:p w:rsidR="00DA42B2" w:rsidRDefault="00DA42B2" w:rsidP="00DA42B2">
      <w:pPr>
        <w:spacing w:after="0" w:line="240" w:lineRule="auto"/>
        <w:rPr>
          <w:rFonts w:eastAsia="Times New Roman" w:cstheme="minorHAnsi"/>
          <w:color w:val="222222"/>
          <w:u w:val="single"/>
          <w:lang w:eastAsia="cs-CZ"/>
        </w:rPr>
      </w:pPr>
    </w:p>
    <w:p w:rsidR="00DA42B2" w:rsidRPr="00DA42B2" w:rsidRDefault="00DA42B2" w:rsidP="00DA42B2">
      <w:pPr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DA42B2">
        <w:rPr>
          <w:rFonts w:eastAsia="Times New Roman" w:cstheme="minorHAnsi"/>
          <w:color w:val="222222"/>
          <w:u w:val="single"/>
          <w:lang w:eastAsia="cs-CZ"/>
        </w:rPr>
        <w:t>Příloha:</w:t>
      </w:r>
      <w:r>
        <w:rPr>
          <w:rFonts w:eastAsia="Times New Roman" w:cstheme="minorHAnsi"/>
          <w:color w:val="222222"/>
          <w:lang w:eastAsia="cs-CZ"/>
        </w:rPr>
        <w:t xml:space="preserve"> 1 (návrh alokací MAS na období 2021-2027)</w:t>
      </w:r>
    </w:p>
    <w:p w:rsidR="00DA42B2" w:rsidRDefault="00DA42B2" w:rsidP="000D43AF">
      <w:pPr>
        <w:spacing w:after="0" w:line="240" w:lineRule="auto"/>
        <w:rPr>
          <w:u w:val="single"/>
        </w:rPr>
      </w:pPr>
    </w:p>
    <w:p w:rsidR="000D43AF" w:rsidRPr="00DA42B2" w:rsidRDefault="000D43AF" w:rsidP="000D43AF">
      <w:pPr>
        <w:spacing w:after="0" w:line="240" w:lineRule="auto"/>
        <w:rPr>
          <w:u w:val="single"/>
        </w:rPr>
      </w:pPr>
      <w:r>
        <w:rPr>
          <w:u w:val="single"/>
        </w:rPr>
        <w:t>Zpracoval</w:t>
      </w:r>
      <w:r w:rsidR="00DA42B2">
        <w:rPr>
          <w:u w:val="single"/>
        </w:rPr>
        <w:t xml:space="preserve">: </w:t>
      </w:r>
      <w:r>
        <w:t>Ing. arch. Jan Florian</w:t>
      </w:r>
    </w:p>
    <w:p w:rsidR="000D43AF" w:rsidRPr="002A73A9" w:rsidRDefault="000D43AF" w:rsidP="008A125F">
      <w:pPr>
        <w:spacing w:after="120" w:line="240" w:lineRule="auto"/>
        <w:jc w:val="both"/>
        <w:rPr>
          <w:rFonts w:cstheme="minorHAnsi"/>
        </w:rPr>
        <w:sectPr w:rsidR="000D43AF" w:rsidRPr="002A73A9" w:rsidSect="002A401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992"/>
        <w:gridCol w:w="1560"/>
        <w:gridCol w:w="1701"/>
        <w:gridCol w:w="1275"/>
        <w:gridCol w:w="709"/>
        <w:gridCol w:w="1418"/>
        <w:gridCol w:w="996"/>
      </w:tblGrid>
      <w:tr w:rsidR="000D43AF" w:rsidRPr="000E186C" w:rsidTr="00D44F33">
        <w:trPr>
          <w:trHeight w:val="720"/>
        </w:trPr>
        <w:tc>
          <w:tcPr>
            <w:tcW w:w="582" w:type="dxa"/>
            <w:shd w:val="clear" w:color="auto" w:fill="auto"/>
            <w:vAlign w:val="center"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43AF" w:rsidRPr="000E186C" w:rsidRDefault="000D43AF" w:rsidP="009E01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0D43AF" w:rsidRPr="000D43AF" w:rsidRDefault="000D43AF" w:rsidP="000D43AF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ř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í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h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0D43A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</w:t>
            </w:r>
          </w:p>
        </w:tc>
      </w:tr>
      <w:tr w:rsidR="00A955E3" w:rsidRPr="000E186C" w:rsidTr="000D43A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9E01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</w:t>
            </w:r>
            <w:r w:rsidR="009E01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9E01B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za 7 let v</w:t>
            </w:r>
            <w:r w:rsidR="009E01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6C" w:rsidRPr="000E186C" w:rsidRDefault="000E186C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Dolnobřežansko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31 045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8 974 720 283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289 087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89 999 455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Boleslavsko z.ú.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5 666 690 424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284 601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57 721 989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rozvoj Kladenska a Prahy-západ,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26 931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6 981 719 437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259 245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78 072 969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Říčansko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62 797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15 871 361 321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252 741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182 048 503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Karlštejnsko, z.ú.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56 868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13 369 221 063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235 092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164 860 332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Dolní Pojizeří z.ú.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4 308 162 174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234 343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53 295 216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- Střední Polabí,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11 503 503 464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234 259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142 358 294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Region Pošembeří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44 295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10 318 096 892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232 940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128 411 205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Nad Prahou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14 506 277 274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228 517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184 028 520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Obecně prospěšná společnost pro Český ráj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43 277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9 822 632 300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226 971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125 460 023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Sdružení SPLAV,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36 065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8 121 585 439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104 552 435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Mezi Hrady,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4 321 548 264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225 116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55 652 103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Bobrava,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5 566 716 992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223 653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72 156 110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Aktivios,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53 985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11 914 358 509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220 698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156 502 515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Blanský les - Netolicko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6 861 598 498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220 524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90 202 385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2 899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Jihozápad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5 447 506 104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218 898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82 966 191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Vyhlídky,z.s.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46 969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10 259 746 115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218 437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156 587 601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Šipka,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23 657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5 150 345 703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217 709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78 868 889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Region Kunětické hory,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5 020 892 475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217 270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77 041 940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Hlubocko - Lišovsko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5 334 740 112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217 115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81 916 028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Mezilesí,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7 217 593 766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216 875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110 950 528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MOST Vysočiny,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36 739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7 962 064 494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216 720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122 482 315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Chrudimsko,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7 027 328 075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215 761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108 583 495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90132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"Přiďte pobejt!"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5 088 083 969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215 579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Pr="000E186C" w:rsidRDefault="0090132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78 685 528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2F" w:rsidRDefault="0090132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D44F3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alokace za 7 let  v 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3AF" w:rsidRPr="000E186C" w:rsidRDefault="000D43AF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Frýdlantsko - Beskydy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6 282 203 021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97 165 058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Přemyslovské střední Čechy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93 497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20 138 170 606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215 388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311 704 973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Světovina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57 627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12 329 071 938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213 946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192 119 774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Zlatá cesta,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3 235 315 958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212 668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50 717 860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Podhůří Železných hor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2 681 476 023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211 123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42 343 229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Společnost pro rozvoj Humpolecka,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3 746 481 954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210 347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59 379 202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VLTAVA,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2 968 448 059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210 275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47 063 960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Šumavsko,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44 406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9 337 394 965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210 273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148 042 943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Mohelnicko,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3 860 629 355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61 292 832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POHODA venkova,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6 796 433 938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108 116 756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Rožnovsko,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64 906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13 600 746 179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216 386 868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Královédvorsko,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4 444 050 757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70 767 634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 ORLICÍ,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51 857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10 845 023 914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172 883 459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Rakovnicko o. p.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55 012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11 502 317 589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183 401 756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Lednicko-valtický areál,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43 248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9 042 457 689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209 084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144 182 345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Luhačovské Zálesí,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26 194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5 468 523 447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208 770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87 326 867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Český les,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63 739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13 289 762 405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212 496 265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Polabí,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33 026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6 885 739 214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208 494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110 103 730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Havlíčkův kraj,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59 453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12 372 771 884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198 207 384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Via rustica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6 538 286 520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207 862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104 866 252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Královská stezka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58 875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12 216 788 556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207 504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196 280 419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Brána Brněnska,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17 270 847 803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207 428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277 583 019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Vodňanská ryba,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4 651 636 404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74 794 925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Litomyšlsko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46 451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9 630 430 065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207 324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154 860 666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Slezská brána,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26 499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5 488 396 541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207 117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88 343 691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Posázaví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82 630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17 103 643 523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206 991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275 476 026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0D43AF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Železnohorský region,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46 466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9 593 525 570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206 463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Pr="000E186C" w:rsidRDefault="000D43AF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154 910 674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F" w:rsidRDefault="000D43AF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D44F3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alokace za 7 let  v 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Radbuza,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46 663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9 616 441 048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206 083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155 567 443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SVATOJIŘSKÝ LES,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4 157 919 872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205 991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67 293 762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ORLICKO,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87 392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17 982 484 060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205 768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291 351 819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Holicko,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3 651 137 517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205 675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59 182 505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Brána Vysočiny,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2 920 948 001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47 350 672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Podřipsko,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8 757 602 373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205 428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142 125 359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Česká Kanada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53 407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10 943 383 809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204 905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178 050 927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LEADER - Loucko,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2 486 647 649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204 848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40 469 605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Společná CIDLINA,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27 404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5 612 924 147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204 821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91 360 825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Achát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35 086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7 170 989 775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116 971 461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Otevřené zahrady Jičínska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6 100 653 548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204 336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99 535 426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Třešťsko,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4 238 596 956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69 190 723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BRÁNA PÍSECKA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2 278 269 908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203 909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37 249 106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Brdy - Vltava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6 035 766 305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203 815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98 728 634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Sedlčansko,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4 884 764 728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203 685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79 952 391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Kelečsko - Lešensko - Starojicko,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13 861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2 821 203 219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203 535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46 210 495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Prostějov venkov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4 032 176 149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203 440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66 076 907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Podlipansko,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59 305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12 041 114 817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203 037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197 713 974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Krkonoše,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8 014 152 018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131 750 418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Východní Slovácko,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37 421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7 585 797 864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202 715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124 756 001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Střední Vsetínsko,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2 496 160 516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202 528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41 089 701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Moravská cesta,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6 512 257 204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202 206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107 369 973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Střední Povltaví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3 705 369 609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70 329 566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Brdy, z.ú.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3 617 675 616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68 726 984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Šternbersko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6 056 753 660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115 098 337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Buchlov,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2 556 450 818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48 591 197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Pomalší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4 841 836 442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92 071 769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D44F3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alokace za 7 let  v 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Vizovicko a Slušovicko,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4 093 951 564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77 855 566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Bohdanečsko,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2 599 193 971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49 430 827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SVATOVÁCLAVSKO,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2 678 405 560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50 956 730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Hradecký venkov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6 611 736 262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125 798 829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Třeboňsko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8 564 842 760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163 076 106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Podještědí,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7 879 384 771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150 029 251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Mikulovsko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4 269 687 122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81 355 942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Zubří země,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7 988 630 013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201 164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152 252 929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Blaník,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25 370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5 080 355 437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97 266 741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Slavkovské bojiště,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62 271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12 469 387 943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238 742 499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Lanškrounsko,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3 719 120 491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71 257 377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Pobeskydí,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14 152 457 837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199 775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271 603 092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Hranicko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6 817 930 968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131 488 378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Hranicko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6 817 930 968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131 488 378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OSLAVKA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3 194 779 995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61 634 218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Regionu Poodří,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69 362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13 780 813 049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265 928 879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Blatensko,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3 217 729 243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62 113 459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Hanácké Království,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3 513 932 105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67 918 026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Český Západ,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6 050 927 086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117 042 139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Severní Chřiby a Pomoraví,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41 448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8 215 020 751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158 908 627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Hustopečsko,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37 805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7 490 026 669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144 941 629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Království - Jestřebí hory,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4 897 524 243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197 944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94 859 034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Mikroregionu Telčsko,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2 975 185 246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197 792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57 669 937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Moravský kras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74 296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14 687 967 556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197 695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284 845 478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Lípa pro venkov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55 987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11 023 936 199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214 650 099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Podhorácko,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4 481 079 796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87 348 370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Strakonicko,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41 672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8 194 691 103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159 767 427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D44F3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alokace za 7 let  v 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Dolní Poolšaví,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3 023 891 420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59 023 314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Svitava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6 107 674 911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119 235 145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- Partnerství Moštěnka,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43 078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8 456 104 661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165 157 929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České středohoří,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9 109 713 318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196 203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178 009 254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Lašsko,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86 948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17 023 836 014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333 352 328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POŠUMAVÍ, zapsaný spolek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84 928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16 607 756 579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325 607 795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LAG Podralsko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73 463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14 364 095 791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281 651 816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Podbrněnsko, spolek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44 093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8 615 020 820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169 049 365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Labské skály,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34 066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6 654 828 219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130 606 574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MAS Krajina srdce z.s.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4 167 823 512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81 808 345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Opavsko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59 758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11 660 750 525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229 107 840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POLIČSKO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3 963 570 596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77 893 905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Staroměstsko,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2 531 031 994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195 055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49 749 043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Šumperský venkov,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27 023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5 269 360 371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194 995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103 604 223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Rozvoj Krnovska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40 976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7 956 818 518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194 182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157 099 013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Horňácko a Ostrožsko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8 232 048 673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194 029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162 662 042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Region HANÁ,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41 929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8 135 101 787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194 021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160 752 746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Českomoravské pomezí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4 067 444 708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193 928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80 412 795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Lužnice,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25 634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4 969 086 019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193 847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98 278 898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Hlinecko,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18 846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3 648 186 433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193 579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72 254 198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Hornolidečska,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2 379 070 883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193 279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47 191 814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Vyškovsko,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47 605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9 189 448 770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193 035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182 514 119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RÝMAŘOVSKO, 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3 316 576 858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65 901 380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svatého Jana z Nepomuku,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2 503 057 570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49 783 549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Mezi Úpou a Metují,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42 936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8 275 774 885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164 613 511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Podchlumí,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4 318 365 335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86 021 831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Skutečsko, Košumbersko a Chrastecko,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4 074 073 186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81 217 920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D44F3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alokace za 7 let  v 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Živé pomezí Krumlovsko-Jevišovicko,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4 438 960 236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88 586 729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Brána do Českého ráje,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40 924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7 859 158 692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192 043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156 899 649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Hlučínsko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13 178 784 462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191 658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006E7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263 628 523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006E7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Kyjovské Slovácko v pohybu,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62 447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11 958 219 380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191 494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239 417 271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Bojkovska,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2 454 815 845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191 185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49 227 629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Rozkvět,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25 462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4 867 867 866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191 182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97 619 462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Rokytná,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28 922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5 526 894 605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191 097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110 884 851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Horní Pomoraví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49 652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9 471 109 254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190 362 168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Sdružení Růže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33 034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6 300 810 394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126 649 961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Zálabí,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3 537 199 293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71 111 687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Boskovicko PLUS,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7 442 200 092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149 622 855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Hrubý Jeseník,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36 037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6 867 554 100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138 163 245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Jižní Slovácko,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45 506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8 671 776 044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174 466 705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Uničovsko,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4 271 654 199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85 960 488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Bystřička,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4 182 666 168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190 407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84 219 885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Jablunkovsko,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35 272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6 690 848 881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189 693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135 230 291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Stolové hory,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38 543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7 279 458 311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188 866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147 771 068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Podhostýnska,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3 493 850 397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188 694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70 989 002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Vladař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84 606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15 959 192 006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188 630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324 373 270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Valašsko - Horní Vsacko,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3 037 086 786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188 534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61 760 738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SERVISO, o. p.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79 439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14 956 505 121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188 277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304 563 367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Moravskotřebovsko a Jevíčsko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26 592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5 004 477 607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188 195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101 951 800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Bohumínsko,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53 188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9 979 042 250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187 618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203 918 936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3 834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PODBRDSKO,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3 378 184 616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186 764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79 750 293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Sdružení Západní Krušnohoří,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55 544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10 346 632 391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186 278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244 894 419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CÍNOVECKO o. p.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3 726 042 607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185 329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88 643 279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Jemnicko,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3 162 931 303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185 303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75 257 505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D44F3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řádek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MAS</w:t>
            </w: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abs. příjem/rok 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nominální čistý příjem na obyvatele/rok 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měsíční příjem v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kvartil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alokace za 7 let  v Kč - nepřímá úměra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10" w:rsidRPr="000E186C" w:rsidRDefault="00CF4010" w:rsidP="00D44F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alokace na obyvatele v Kč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Sokolovsko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17 066 928 341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184 745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407 309 365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Ploština,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4 038 873 433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184 154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96 698 553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Rozvoj Tanvaldska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26 028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4 780 855 505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183 681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006E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006E7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114 757 885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006E7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Jižní Haná o. p.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3 412 008 238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182 910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82 245 796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21,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57 797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10 569 707 124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182 876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254 827 934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Znojemské vinařství,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6 359 814 998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182 696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153 482 278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Střední Haná,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2 870 215 880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182 502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69 340 604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Strážnicko,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3 029 579 341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181 760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73 489 489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Kraj živých vod,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2 604 889 655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181 627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63 234 116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MORAVSKÁ BRÁNA,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3 945 427 153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179 803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96 747 052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Broumovsko+,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16 298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2 929 685 709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179 757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71 858 153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Partnerství venkova,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3 154 749 495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178 154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78 074 866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Hanácký venkov,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3 184 298 264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178 063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78 846 444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Český sever,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73 721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13 106 866 540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177 790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325 037 115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Naděje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33 568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5 883 010 645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175 257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148 001 870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Krušné hory,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48 976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8 575 932 873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175 105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215 935 998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Hrušovansko, z. 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2 160 491 633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174 939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54 451 355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Ekoregion Úhlava,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2 430 188 211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174 007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61 576 326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Vincenze Priessnitze pro Jesenicko, o.p.s.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6 825 956 654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173 994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172 970 131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Frýdlantsko,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4 294 206 076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173 503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109 123 161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A955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Místní akční skupina Hříběcí hory, z.s.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21 723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3 716 289 735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171 076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Pr="000E186C" w:rsidRDefault="00CF4010" w:rsidP="00FE3C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E18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95 777 068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0" w:rsidRDefault="00CF4010" w:rsidP="00FE3CEA">
            <w:pPr>
              <w:spacing w:after="0" w:line="240" w:lineRule="auto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4 409</w:t>
            </w:r>
          </w:p>
        </w:tc>
      </w:tr>
      <w:tr w:rsidR="00CF4010" w:rsidRPr="000E186C" w:rsidTr="007B112F">
        <w:trPr>
          <w:cantSplit/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Pr="000E186C" w:rsidRDefault="00CF4010" w:rsidP="007B112F">
            <w:pPr>
              <w:spacing w:before="120"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6 289 924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1 269 309 653 157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16 817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22 697 858 049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010" w:rsidRDefault="00CF4010" w:rsidP="007B112F">
            <w:pPr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3 609</w:t>
            </w:r>
          </w:p>
        </w:tc>
      </w:tr>
    </w:tbl>
    <w:p w:rsidR="000E186C" w:rsidRPr="008D6849" w:rsidRDefault="00A955E3" w:rsidP="001F0393">
      <w:pPr>
        <w:spacing w:before="120" w:after="0" w:line="240" w:lineRule="auto"/>
        <w:ind w:left="255" w:hanging="255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D6849">
        <w:rPr>
          <w:rFonts w:ascii="Calibri" w:eastAsia="Times New Roman" w:hAnsi="Calibri" w:cs="Calibri"/>
          <w:color w:val="000000"/>
          <w:lang w:eastAsia="cs-CZ"/>
        </w:rPr>
        <w:t xml:space="preserve">*) </w:t>
      </w:r>
      <w:r w:rsidR="006D75DB" w:rsidRPr="008D6849">
        <w:rPr>
          <w:rFonts w:ascii="Calibri" w:eastAsia="Times New Roman" w:hAnsi="Calibri" w:cs="Calibri"/>
          <w:color w:val="000000"/>
          <w:lang w:eastAsia="cs-CZ"/>
        </w:rPr>
        <w:t>Tabulka bude, co se týká počtu a velikostí MAS</w:t>
      </w:r>
      <w:r w:rsidR="008D6849">
        <w:rPr>
          <w:rFonts w:ascii="Calibri" w:eastAsia="Times New Roman" w:hAnsi="Calibri" w:cs="Calibri"/>
          <w:color w:val="000000"/>
          <w:lang w:eastAsia="cs-CZ"/>
        </w:rPr>
        <w:t>,</w:t>
      </w:r>
      <w:r w:rsidR="006D75DB" w:rsidRPr="008D6849">
        <w:rPr>
          <w:rFonts w:ascii="Calibri" w:eastAsia="Times New Roman" w:hAnsi="Calibri" w:cs="Calibri"/>
          <w:color w:val="000000"/>
          <w:lang w:eastAsia="cs-CZ"/>
        </w:rPr>
        <w:t xml:space="preserve"> aktualizována ve spolupráci s</w:t>
      </w:r>
      <w:r w:rsidR="007D1030">
        <w:rPr>
          <w:rFonts w:ascii="Calibri" w:eastAsia="Times New Roman" w:hAnsi="Calibri" w:cs="Calibri"/>
          <w:color w:val="000000"/>
          <w:lang w:eastAsia="cs-CZ"/>
        </w:rPr>
        <w:t> </w:t>
      </w:r>
      <w:r w:rsidR="006D75DB" w:rsidRPr="008D6849">
        <w:rPr>
          <w:rFonts w:ascii="Calibri" w:eastAsia="Times New Roman" w:hAnsi="Calibri" w:cs="Calibri"/>
          <w:color w:val="000000"/>
          <w:lang w:eastAsia="cs-CZ"/>
        </w:rPr>
        <w:t>N</w:t>
      </w:r>
      <w:r w:rsidR="007D1030">
        <w:rPr>
          <w:rFonts w:ascii="Calibri" w:eastAsia="Times New Roman" w:hAnsi="Calibri" w:cs="Calibri"/>
          <w:color w:val="000000"/>
          <w:lang w:eastAsia="cs-CZ"/>
        </w:rPr>
        <w:t>árodní sítí</w:t>
      </w:r>
      <w:r w:rsidR="006D75DB" w:rsidRPr="008D6849">
        <w:rPr>
          <w:rFonts w:ascii="Calibri" w:eastAsia="Times New Roman" w:hAnsi="Calibri" w:cs="Calibri"/>
          <w:color w:val="000000"/>
          <w:lang w:eastAsia="cs-CZ"/>
        </w:rPr>
        <w:t xml:space="preserve"> MAS ČR</w:t>
      </w:r>
      <w:r w:rsidR="009640A2" w:rsidRPr="009640A2">
        <w:rPr>
          <w:rFonts w:cstheme="minorHAnsi"/>
        </w:rPr>
        <w:t xml:space="preserve"> </w:t>
      </w:r>
      <w:r w:rsidR="009640A2">
        <w:rPr>
          <w:rFonts w:cstheme="minorHAnsi"/>
        </w:rPr>
        <w:t xml:space="preserve">a </w:t>
      </w:r>
      <w:r w:rsidR="001F0393">
        <w:rPr>
          <w:rFonts w:cstheme="minorHAnsi"/>
        </w:rPr>
        <w:t xml:space="preserve">s </w:t>
      </w:r>
      <w:r w:rsidR="009640A2" w:rsidRPr="008D6849">
        <w:rPr>
          <w:rFonts w:cstheme="minorHAnsi"/>
        </w:rPr>
        <w:t>Ekonomickou fakultou T</w:t>
      </w:r>
      <w:r w:rsidR="007D1030">
        <w:rPr>
          <w:rFonts w:cstheme="minorHAnsi"/>
        </w:rPr>
        <w:t>echnické univerzity</w:t>
      </w:r>
      <w:r w:rsidR="009640A2" w:rsidRPr="008D6849">
        <w:rPr>
          <w:rFonts w:cstheme="minorHAnsi"/>
        </w:rPr>
        <w:t xml:space="preserve"> Liberec</w:t>
      </w:r>
      <w:r w:rsidR="009640A2">
        <w:rPr>
          <w:rFonts w:cstheme="minorHAnsi"/>
        </w:rPr>
        <w:t xml:space="preserve">, pokud jde o výpočet </w:t>
      </w:r>
      <w:r w:rsidR="009640A2" w:rsidRPr="008D6849">
        <w:rPr>
          <w:rFonts w:ascii="Calibri" w:eastAsia="Times New Roman" w:hAnsi="Calibri" w:cs="Calibri"/>
          <w:color w:val="000000"/>
          <w:lang w:eastAsia="cs-CZ"/>
        </w:rPr>
        <w:t>průměrn</w:t>
      </w:r>
      <w:r w:rsidR="000779C2">
        <w:rPr>
          <w:rFonts w:ascii="Calibri" w:eastAsia="Times New Roman" w:hAnsi="Calibri" w:cs="Calibri"/>
          <w:color w:val="000000"/>
          <w:lang w:eastAsia="cs-CZ"/>
        </w:rPr>
        <w:t>ého</w:t>
      </w:r>
      <w:r w:rsidR="009640A2" w:rsidRPr="008D6849">
        <w:rPr>
          <w:rFonts w:ascii="Calibri" w:eastAsia="Times New Roman" w:hAnsi="Calibri" w:cs="Calibri"/>
          <w:color w:val="000000"/>
          <w:lang w:eastAsia="cs-CZ"/>
        </w:rPr>
        <w:t xml:space="preserve"> příjm</w:t>
      </w:r>
      <w:r w:rsidR="000779C2">
        <w:rPr>
          <w:rFonts w:ascii="Calibri" w:eastAsia="Times New Roman" w:hAnsi="Calibri" w:cs="Calibri"/>
          <w:color w:val="000000"/>
          <w:lang w:eastAsia="cs-CZ"/>
        </w:rPr>
        <w:t>u</w:t>
      </w:r>
      <w:r w:rsidR="009640A2" w:rsidRPr="008D6849">
        <w:rPr>
          <w:rFonts w:ascii="Calibri" w:eastAsia="Times New Roman" w:hAnsi="Calibri" w:cs="Calibri"/>
          <w:color w:val="000000"/>
          <w:lang w:eastAsia="cs-CZ"/>
        </w:rPr>
        <w:t xml:space="preserve"> na obyvatele</w:t>
      </w:r>
      <w:r w:rsidR="000779C2">
        <w:rPr>
          <w:rFonts w:ascii="Calibri" w:eastAsia="Times New Roman" w:hAnsi="Calibri" w:cs="Calibri"/>
          <w:color w:val="000000"/>
          <w:lang w:eastAsia="cs-CZ"/>
        </w:rPr>
        <w:t xml:space="preserve"> MAS</w:t>
      </w:r>
      <w:r w:rsidR="001F0393">
        <w:rPr>
          <w:rFonts w:ascii="Calibri" w:eastAsia="Times New Roman" w:hAnsi="Calibri" w:cs="Calibri"/>
          <w:color w:val="000000"/>
          <w:lang w:eastAsia="cs-CZ"/>
        </w:rPr>
        <w:t>. Bude také</w:t>
      </w:r>
      <w:r w:rsidR="006D75DB" w:rsidRPr="008D6849">
        <w:rPr>
          <w:rFonts w:ascii="Calibri" w:eastAsia="Times New Roman" w:hAnsi="Calibri" w:cs="Calibri"/>
          <w:color w:val="000000"/>
          <w:lang w:eastAsia="cs-CZ"/>
        </w:rPr>
        <w:t xml:space="preserve"> doplněna o výpočet plynulého narůstání alokace na obyvatele od MAS s největší</w:t>
      </w:r>
      <w:r w:rsidR="008D6849" w:rsidRPr="008D6849">
        <w:rPr>
          <w:rFonts w:ascii="Calibri" w:eastAsia="Times New Roman" w:hAnsi="Calibri" w:cs="Calibri"/>
          <w:color w:val="000000"/>
          <w:lang w:eastAsia="cs-CZ"/>
        </w:rPr>
        <w:t>m</w:t>
      </w:r>
      <w:r w:rsidR="006D75DB" w:rsidRPr="008D6849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FA5C20" w:rsidRPr="008D6849">
        <w:rPr>
          <w:rFonts w:ascii="Calibri" w:eastAsia="Times New Roman" w:hAnsi="Calibri" w:cs="Calibri"/>
          <w:color w:val="000000"/>
          <w:lang w:eastAsia="cs-CZ"/>
        </w:rPr>
        <w:t xml:space="preserve">průměrným příjmem na obyvatele </w:t>
      </w:r>
      <w:r w:rsidR="008D6849" w:rsidRPr="008D6849">
        <w:rPr>
          <w:rFonts w:ascii="Calibri" w:eastAsia="Times New Roman" w:hAnsi="Calibri" w:cs="Calibri"/>
          <w:color w:val="000000"/>
          <w:lang w:eastAsia="cs-CZ"/>
        </w:rPr>
        <w:t>po MAS s nejnižším průměrným příjmem na obyvatele.</w:t>
      </w:r>
    </w:p>
    <w:p w:rsidR="005564EE" w:rsidRDefault="005564EE" w:rsidP="005564EE">
      <w:pPr>
        <w:spacing w:after="0" w:line="240" w:lineRule="auto"/>
        <w:rPr>
          <w:u w:val="single"/>
        </w:rPr>
      </w:pPr>
    </w:p>
    <w:sectPr w:rsidR="005564EE" w:rsidSect="000E1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9C" w:rsidRDefault="00264E9C" w:rsidP="00954F62">
      <w:pPr>
        <w:spacing w:after="0" w:line="240" w:lineRule="auto"/>
      </w:pPr>
      <w:r>
        <w:separator/>
      </w:r>
    </w:p>
  </w:endnote>
  <w:endnote w:type="continuationSeparator" w:id="0">
    <w:p w:rsidR="00264E9C" w:rsidRDefault="00264E9C" w:rsidP="009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9594"/>
      <w:docPartObj>
        <w:docPartGallery w:val="Page Numbers (Bottom of Page)"/>
        <w:docPartUnique/>
      </w:docPartObj>
    </w:sdtPr>
    <w:sdtEndPr/>
    <w:sdtContent>
      <w:p w:rsidR="003A3903" w:rsidRDefault="003A39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2D">
          <w:rPr>
            <w:noProof/>
          </w:rPr>
          <w:t>1</w:t>
        </w:r>
        <w:r>
          <w:fldChar w:fldCharType="end"/>
        </w:r>
      </w:p>
    </w:sdtContent>
  </w:sdt>
  <w:p w:rsidR="003A3903" w:rsidRDefault="003A3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9C" w:rsidRDefault="00264E9C" w:rsidP="00954F62">
      <w:pPr>
        <w:spacing w:after="0" w:line="240" w:lineRule="auto"/>
      </w:pPr>
      <w:r>
        <w:separator/>
      </w:r>
    </w:p>
  </w:footnote>
  <w:footnote w:type="continuationSeparator" w:id="0">
    <w:p w:rsidR="00264E9C" w:rsidRDefault="00264E9C" w:rsidP="00954F62">
      <w:pPr>
        <w:spacing w:after="0" w:line="240" w:lineRule="auto"/>
      </w:pPr>
      <w:r>
        <w:continuationSeparator/>
      </w:r>
    </w:p>
  </w:footnote>
  <w:footnote w:id="1">
    <w:p w:rsidR="003A3903" w:rsidRPr="003A3CE6" w:rsidRDefault="003A3903" w:rsidP="003A3CE6">
      <w:pPr>
        <w:pStyle w:val="Textpoznpodarou"/>
        <w:jc w:val="both"/>
        <w:rPr>
          <w:rFonts w:cstheme="minorHAnsi"/>
        </w:rPr>
      </w:pPr>
      <w:r w:rsidRPr="003A3CE6">
        <w:rPr>
          <w:rStyle w:val="Znakapoznpodarou"/>
          <w:rFonts w:cstheme="minorHAnsi"/>
          <w:szCs w:val="20"/>
        </w:rPr>
        <w:footnoteRef/>
      </w:r>
      <w:r w:rsidRPr="003A3CE6">
        <w:rPr>
          <w:rFonts w:cstheme="minorHAnsi"/>
          <w:sz w:val="20"/>
          <w:szCs w:val="20"/>
        </w:rPr>
        <w:t xml:space="preserve"> V případě Fondu soudržnosti je stanovena maximální míra spolufinancování ve výši 85 % pro celé území ČR.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81C"/>
    <w:multiLevelType w:val="hybridMultilevel"/>
    <w:tmpl w:val="323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7F2F"/>
    <w:multiLevelType w:val="multilevel"/>
    <w:tmpl w:val="6FDE1D5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">
    <w:nsid w:val="15603CCF"/>
    <w:multiLevelType w:val="hybridMultilevel"/>
    <w:tmpl w:val="2786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13B0"/>
    <w:multiLevelType w:val="multilevel"/>
    <w:tmpl w:val="F9DAE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>
    <w:nsid w:val="3B4207FA"/>
    <w:multiLevelType w:val="hybridMultilevel"/>
    <w:tmpl w:val="63A29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6A4E"/>
    <w:multiLevelType w:val="hybridMultilevel"/>
    <w:tmpl w:val="F0C0A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38"/>
    <w:multiLevelType w:val="multilevel"/>
    <w:tmpl w:val="21922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91F77E9"/>
    <w:multiLevelType w:val="multilevel"/>
    <w:tmpl w:val="70A84EC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8">
    <w:nsid w:val="4D5C0491"/>
    <w:multiLevelType w:val="multilevel"/>
    <w:tmpl w:val="7814F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9">
    <w:nsid w:val="539B15DD"/>
    <w:multiLevelType w:val="hybridMultilevel"/>
    <w:tmpl w:val="CE345C7E"/>
    <w:lvl w:ilvl="0" w:tplc="3F980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1BD569F"/>
    <w:multiLevelType w:val="multilevel"/>
    <w:tmpl w:val="9C2E36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eastAsiaTheme="minorHAnsi" w:cstheme="minorBidi" w:hint="default"/>
        <w:color w:val="auto"/>
      </w:rPr>
    </w:lvl>
  </w:abstractNum>
  <w:abstractNum w:abstractNumId="11">
    <w:nsid w:val="6F874B1F"/>
    <w:multiLevelType w:val="multilevel"/>
    <w:tmpl w:val="70A84EC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2">
    <w:nsid w:val="773574A8"/>
    <w:multiLevelType w:val="multilevel"/>
    <w:tmpl w:val="576AE8E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cstheme="minorBidi" w:hint="default"/>
        <w:color w:val="auto"/>
      </w:rPr>
    </w:lvl>
  </w:abstractNum>
  <w:abstractNum w:abstractNumId="13">
    <w:nsid w:val="78D01866"/>
    <w:multiLevelType w:val="multilevel"/>
    <w:tmpl w:val="69E6F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4">
    <w:nsid w:val="7D015DAF"/>
    <w:multiLevelType w:val="hybridMultilevel"/>
    <w:tmpl w:val="CB087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6C"/>
    <w:rsid w:val="00004286"/>
    <w:rsid w:val="0000684F"/>
    <w:rsid w:val="00044E1A"/>
    <w:rsid w:val="0005706F"/>
    <w:rsid w:val="0005758D"/>
    <w:rsid w:val="00072345"/>
    <w:rsid w:val="000779C2"/>
    <w:rsid w:val="000A7422"/>
    <w:rsid w:val="000C024F"/>
    <w:rsid w:val="000C6DA8"/>
    <w:rsid w:val="000D43AF"/>
    <w:rsid w:val="000E17C5"/>
    <w:rsid w:val="000E186C"/>
    <w:rsid w:val="000F4072"/>
    <w:rsid w:val="000F6E6A"/>
    <w:rsid w:val="0010129C"/>
    <w:rsid w:val="00121BEE"/>
    <w:rsid w:val="00132252"/>
    <w:rsid w:val="00140936"/>
    <w:rsid w:val="00166469"/>
    <w:rsid w:val="00177ABE"/>
    <w:rsid w:val="0018147D"/>
    <w:rsid w:val="001B2401"/>
    <w:rsid w:val="001C4E81"/>
    <w:rsid w:val="001C778B"/>
    <w:rsid w:val="001F0393"/>
    <w:rsid w:val="001F6CB6"/>
    <w:rsid w:val="002165FE"/>
    <w:rsid w:val="00233B17"/>
    <w:rsid w:val="00240453"/>
    <w:rsid w:val="00240CCF"/>
    <w:rsid w:val="00245E62"/>
    <w:rsid w:val="0025218F"/>
    <w:rsid w:val="00264E9C"/>
    <w:rsid w:val="00281216"/>
    <w:rsid w:val="002954D9"/>
    <w:rsid w:val="002A1D83"/>
    <w:rsid w:val="002A401C"/>
    <w:rsid w:val="002A73A9"/>
    <w:rsid w:val="002F3C21"/>
    <w:rsid w:val="003111F5"/>
    <w:rsid w:val="00313D20"/>
    <w:rsid w:val="00331FF3"/>
    <w:rsid w:val="003458F3"/>
    <w:rsid w:val="003516CF"/>
    <w:rsid w:val="00352C0A"/>
    <w:rsid w:val="00353A81"/>
    <w:rsid w:val="00354A52"/>
    <w:rsid w:val="0035757D"/>
    <w:rsid w:val="00376511"/>
    <w:rsid w:val="003A3903"/>
    <w:rsid w:val="003A3CE6"/>
    <w:rsid w:val="003B1118"/>
    <w:rsid w:val="003C0889"/>
    <w:rsid w:val="003C2AC6"/>
    <w:rsid w:val="003C3DAB"/>
    <w:rsid w:val="003C4C65"/>
    <w:rsid w:val="003E0DD4"/>
    <w:rsid w:val="0041040A"/>
    <w:rsid w:val="00440924"/>
    <w:rsid w:val="004811F1"/>
    <w:rsid w:val="00494F17"/>
    <w:rsid w:val="004F01BC"/>
    <w:rsid w:val="004F38E0"/>
    <w:rsid w:val="004F7194"/>
    <w:rsid w:val="00503670"/>
    <w:rsid w:val="005564EE"/>
    <w:rsid w:val="00567B06"/>
    <w:rsid w:val="005873C5"/>
    <w:rsid w:val="00590BD7"/>
    <w:rsid w:val="005A0F26"/>
    <w:rsid w:val="005B2A04"/>
    <w:rsid w:val="00604FEC"/>
    <w:rsid w:val="00617AD3"/>
    <w:rsid w:val="006368AD"/>
    <w:rsid w:val="006864AA"/>
    <w:rsid w:val="0069180F"/>
    <w:rsid w:val="0069512D"/>
    <w:rsid w:val="006C3666"/>
    <w:rsid w:val="006C5F68"/>
    <w:rsid w:val="006C6605"/>
    <w:rsid w:val="006D75DB"/>
    <w:rsid w:val="006F66AB"/>
    <w:rsid w:val="007006E7"/>
    <w:rsid w:val="0070711F"/>
    <w:rsid w:val="0070783B"/>
    <w:rsid w:val="007A2092"/>
    <w:rsid w:val="007A4902"/>
    <w:rsid w:val="007B0123"/>
    <w:rsid w:val="007B112F"/>
    <w:rsid w:val="007D1030"/>
    <w:rsid w:val="007D4A18"/>
    <w:rsid w:val="007F3F04"/>
    <w:rsid w:val="0080094F"/>
    <w:rsid w:val="00856C1F"/>
    <w:rsid w:val="00867829"/>
    <w:rsid w:val="00881073"/>
    <w:rsid w:val="008901BE"/>
    <w:rsid w:val="008A125F"/>
    <w:rsid w:val="008A453D"/>
    <w:rsid w:val="008A4F83"/>
    <w:rsid w:val="008B5DFE"/>
    <w:rsid w:val="008D6849"/>
    <w:rsid w:val="008D6EA7"/>
    <w:rsid w:val="008F6D63"/>
    <w:rsid w:val="00900A91"/>
    <w:rsid w:val="0090132F"/>
    <w:rsid w:val="00904530"/>
    <w:rsid w:val="009117E7"/>
    <w:rsid w:val="00954F62"/>
    <w:rsid w:val="009640A2"/>
    <w:rsid w:val="0097133B"/>
    <w:rsid w:val="009941EE"/>
    <w:rsid w:val="009A5483"/>
    <w:rsid w:val="009A55E7"/>
    <w:rsid w:val="009B3DD7"/>
    <w:rsid w:val="009E01BF"/>
    <w:rsid w:val="009F4EF1"/>
    <w:rsid w:val="00A02978"/>
    <w:rsid w:val="00A109F2"/>
    <w:rsid w:val="00A40B68"/>
    <w:rsid w:val="00A57126"/>
    <w:rsid w:val="00A92427"/>
    <w:rsid w:val="00A955E3"/>
    <w:rsid w:val="00AA29B1"/>
    <w:rsid w:val="00AB2C37"/>
    <w:rsid w:val="00AC2A45"/>
    <w:rsid w:val="00AC4F8B"/>
    <w:rsid w:val="00AE25F6"/>
    <w:rsid w:val="00B17BE4"/>
    <w:rsid w:val="00B262EC"/>
    <w:rsid w:val="00B33112"/>
    <w:rsid w:val="00B422BE"/>
    <w:rsid w:val="00B460C5"/>
    <w:rsid w:val="00B65EC1"/>
    <w:rsid w:val="00B96974"/>
    <w:rsid w:val="00BC1DCC"/>
    <w:rsid w:val="00BC2062"/>
    <w:rsid w:val="00BC71E9"/>
    <w:rsid w:val="00BC7945"/>
    <w:rsid w:val="00BD0645"/>
    <w:rsid w:val="00BE62EA"/>
    <w:rsid w:val="00BE7FCD"/>
    <w:rsid w:val="00BF6DD7"/>
    <w:rsid w:val="00C12ABB"/>
    <w:rsid w:val="00C2233D"/>
    <w:rsid w:val="00C26764"/>
    <w:rsid w:val="00C46806"/>
    <w:rsid w:val="00C700C1"/>
    <w:rsid w:val="00C91472"/>
    <w:rsid w:val="00CA2A2D"/>
    <w:rsid w:val="00CE5582"/>
    <w:rsid w:val="00CF33F0"/>
    <w:rsid w:val="00CF4010"/>
    <w:rsid w:val="00D16347"/>
    <w:rsid w:val="00D44E56"/>
    <w:rsid w:val="00D44F33"/>
    <w:rsid w:val="00D527A9"/>
    <w:rsid w:val="00D60D34"/>
    <w:rsid w:val="00D80AAA"/>
    <w:rsid w:val="00D81A1E"/>
    <w:rsid w:val="00D941AD"/>
    <w:rsid w:val="00D975E6"/>
    <w:rsid w:val="00DA42B2"/>
    <w:rsid w:val="00DB00F0"/>
    <w:rsid w:val="00DB0455"/>
    <w:rsid w:val="00E01DA0"/>
    <w:rsid w:val="00E3459E"/>
    <w:rsid w:val="00E625A8"/>
    <w:rsid w:val="00E647E9"/>
    <w:rsid w:val="00EA1DE1"/>
    <w:rsid w:val="00EB0E57"/>
    <w:rsid w:val="00EC53C3"/>
    <w:rsid w:val="00ED6E2F"/>
    <w:rsid w:val="00EE666A"/>
    <w:rsid w:val="00F056CB"/>
    <w:rsid w:val="00F24FCE"/>
    <w:rsid w:val="00F34170"/>
    <w:rsid w:val="00F36628"/>
    <w:rsid w:val="00F46804"/>
    <w:rsid w:val="00F83F7D"/>
    <w:rsid w:val="00F96BF9"/>
    <w:rsid w:val="00FA5C20"/>
    <w:rsid w:val="00FD14B1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0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4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209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20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5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F62"/>
  </w:style>
  <w:style w:type="paragraph" w:styleId="Zpat">
    <w:name w:val="footer"/>
    <w:basedOn w:val="Normln"/>
    <w:link w:val="ZpatChar"/>
    <w:uiPriority w:val="99"/>
    <w:unhideWhenUsed/>
    <w:rsid w:val="0095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F62"/>
  </w:style>
  <w:style w:type="table" w:styleId="Mkatabulky">
    <w:name w:val="Table Grid"/>
    <w:basedOn w:val="Normlntabulka"/>
    <w:uiPriority w:val="59"/>
    <w:rsid w:val="00AB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17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semiHidden/>
    <w:locked/>
    <w:rsid w:val="003A3CE6"/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semiHidden/>
    <w:unhideWhenUsed/>
    <w:rsid w:val="003A3CE6"/>
    <w:pPr>
      <w:widowControl w:val="0"/>
      <w:overflowPunct w:val="0"/>
      <w:autoSpaceDE w:val="0"/>
      <w:autoSpaceDN w:val="0"/>
      <w:adjustRightInd w:val="0"/>
      <w:spacing w:after="0" w:line="240" w:lineRule="auto"/>
    </w:pPr>
  </w:style>
  <w:style w:type="character" w:customStyle="1" w:styleId="TextpoznpodarouChar1">
    <w:name w:val="Text pozn. pod čarou Char1"/>
    <w:basedOn w:val="Standardnpsmoodstavce"/>
    <w:uiPriority w:val="99"/>
    <w:semiHidden/>
    <w:rsid w:val="003A3CE6"/>
    <w:rPr>
      <w:sz w:val="20"/>
      <w:szCs w:val="20"/>
    </w:rPr>
  </w:style>
  <w:style w:type="character" w:styleId="Znakapoznpodarou">
    <w:name w:val="footnote reference"/>
    <w:aliases w:val="PGI Fußnote Ziffer"/>
    <w:semiHidden/>
    <w:unhideWhenUsed/>
    <w:rsid w:val="003A3CE6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0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4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209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20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5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F62"/>
  </w:style>
  <w:style w:type="paragraph" w:styleId="Zpat">
    <w:name w:val="footer"/>
    <w:basedOn w:val="Normln"/>
    <w:link w:val="ZpatChar"/>
    <w:uiPriority w:val="99"/>
    <w:unhideWhenUsed/>
    <w:rsid w:val="0095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F62"/>
  </w:style>
  <w:style w:type="table" w:styleId="Mkatabulky">
    <w:name w:val="Table Grid"/>
    <w:basedOn w:val="Normlntabulka"/>
    <w:uiPriority w:val="59"/>
    <w:rsid w:val="00AB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17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semiHidden/>
    <w:locked/>
    <w:rsid w:val="003A3CE6"/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semiHidden/>
    <w:unhideWhenUsed/>
    <w:rsid w:val="003A3CE6"/>
    <w:pPr>
      <w:widowControl w:val="0"/>
      <w:overflowPunct w:val="0"/>
      <w:autoSpaceDE w:val="0"/>
      <w:autoSpaceDN w:val="0"/>
      <w:adjustRightInd w:val="0"/>
      <w:spacing w:after="0" w:line="240" w:lineRule="auto"/>
    </w:pPr>
  </w:style>
  <w:style w:type="character" w:customStyle="1" w:styleId="TextpoznpodarouChar1">
    <w:name w:val="Text pozn. pod čarou Char1"/>
    <w:basedOn w:val="Standardnpsmoodstavce"/>
    <w:uiPriority w:val="99"/>
    <w:semiHidden/>
    <w:rsid w:val="003A3CE6"/>
    <w:rPr>
      <w:sz w:val="20"/>
      <w:szCs w:val="20"/>
    </w:rPr>
  </w:style>
  <w:style w:type="character" w:styleId="Znakapoznpodarou">
    <w:name w:val="footnote reference"/>
    <w:aliases w:val="PGI Fußnote Ziffer"/>
    <w:semiHidden/>
    <w:unhideWhenUsed/>
    <w:rsid w:val="003A3CE6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5657</Words>
  <Characters>33382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radim.krivanek@email.cz</dc:creator>
  <cp:lastModifiedBy>radim.krivanek@email.cz</cp:lastModifiedBy>
  <cp:revision>4</cp:revision>
  <dcterms:created xsi:type="dcterms:W3CDTF">2021-03-06T15:30:00Z</dcterms:created>
  <dcterms:modified xsi:type="dcterms:W3CDTF">2021-03-16T10:38:00Z</dcterms:modified>
</cp:coreProperties>
</file>